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广州市净水有限公司大坦沙分公司2022年日常维护项目</w:t>
      </w: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（10月市政工程类）</w:t>
      </w:r>
    </w:p>
    <w:p>
      <w:pPr>
        <w:pStyle w:val="3"/>
        <w:rPr>
          <w:rFonts w:hint="default"/>
          <w:color w:val="auto"/>
          <w:highlight w:val="none"/>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3"/>
        <w:rPr>
          <w:color w:val="auto"/>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color w:val="auto"/>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十一</w:t>
      </w:r>
      <w:r>
        <w:rPr>
          <w:rFonts w:hint="eastAsia" w:ascii="黑体" w:hAnsi="黑体" w:eastAsia="黑体" w:cs="仿宋_GB2312"/>
          <w:color w:val="auto"/>
          <w:sz w:val="32"/>
          <w:szCs w:val="32"/>
          <w:highlight w:val="none"/>
        </w:rPr>
        <w:t>月</w:t>
      </w:r>
    </w:p>
    <w:p>
      <w:pPr>
        <w:rPr>
          <w:color w:val="auto"/>
          <w:highlight w:val="none"/>
        </w:rPr>
        <w:sectPr>
          <w:footerReference r:id="rId5" w:type="first"/>
          <w:footerReference r:id="rId3" w:type="default"/>
          <w:footerReference r:id="rId4"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6"/>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9"/>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9"/>
        <w:numPr>
          <w:ilvl w:val="0"/>
          <w:numId w:val="1"/>
        </w:numPr>
        <w:tabs>
          <w:tab w:val="right" w:pos="8844"/>
        </w:tabs>
        <w:rPr>
          <w:color w:val="auto"/>
          <w:highlight w:val="none"/>
        </w:rPr>
      </w:pPr>
      <w:r>
        <w:rPr>
          <w:rFonts w:hint="eastAsia"/>
          <w:color w:val="auto"/>
          <w:highlight w:val="none"/>
          <w:lang w:val="en-US" w:eastAsia="zh-CN"/>
        </w:rPr>
        <w:t>供应商须知</w:t>
      </w:r>
    </w:p>
    <w:p>
      <w:pPr>
        <w:pStyle w:val="19"/>
        <w:numPr>
          <w:ilvl w:val="0"/>
          <w:numId w:val="1"/>
        </w:numPr>
        <w:tabs>
          <w:tab w:val="right" w:pos="8844"/>
        </w:tabs>
        <w:rPr>
          <w:color w:val="auto"/>
          <w:highlight w:val="none"/>
        </w:rPr>
      </w:pPr>
      <w:r>
        <w:rPr>
          <w:rFonts w:hint="eastAsia"/>
          <w:color w:val="auto"/>
          <w:highlight w:val="none"/>
          <w:lang w:val="en-US" w:eastAsia="zh-CN"/>
        </w:rPr>
        <w:t>采购方法</w:t>
      </w:r>
    </w:p>
    <w:p>
      <w:pPr>
        <w:pStyle w:val="19"/>
        <w:numPr>
          <w:ilvl w:val="0"/>
          <w:numId w:val="1"/>
        </w:numPr>
        <w:tabs>
          <w:tab w:val="right" w:pos="8844"/>
        </w:tabs>
        <w:rPr>
          <w:color w:val="auto"/>
          <w:highlight w:val="none"/>
        </w:rPr>
      </w:pPr>
      <w:r>
        <w:rPr>
          <w:rFonts w:hint="eastAsia"/>
          <w:color w:val="auto"/>
          <w:highlight w:val="none"/>
          <w:lang w:val="en-US" w:eastAsia="zh-CN"/>
        </w:rPr>
        <w:t>评审方法</w:t>
      </w:r>
    </w:p>
    <w:p>
      <w:pPr>
        <w:pStyle w:val="19"/>
        <w:numPr>
          <w:ilvl w:val="0"/>
          <w:numId w:val="1"/>
        </w:numPr>
        <w:tabs>
          <w:tab w:val="right" w:pos="8844"/>
        </w:tabs>
        <w:rPr>
          <w:color w:val="auto"/>
          <w:highlight w:val="none"/>
        </w:rPr>
      </w:pPr>
      <w:r>
        <w:rPr>
          <w:rFonts w:hint="eastAsia"/>
          <w:color w:val="auto"/>
          <w:highlight w:val="none"/>
          <w:lang w:val="en-US" w:eastAsia="zh-CN"/>
        </w:rPr>
        <w:t>采购需求</w:t>
      </w:r>
    </w:p>
    <w:p>
      <w:pPr>
        <w:pStyle w:val="19"/>
        <w:numPr>
          <w:ilvl w:val="0"/>
          <w:numId w:val="1"/>
        </w:numPr>
        <w:tabs>
          <w:tab w:val="right" w:pos="8844"/>
        </w:tabs>
        <w:rPr>
          <w:color w:val="auto"/>
          <w:highlight w:val="none"/>
        </w:rPr>
      </w:pPr>
      <w:r>
        <w:rPr>
          <w:rFonts w:hint="eastAsia"/>
          <w:color w:val="auto"/>
          <w:highlight w:val="none"/>
        </w:rPr>
        <w:t>合同草案</w:t>
      </w:r>
    </w:p>
    <w:p>
      <w:pPr>
        <w:pStyle w:val="19"/>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18145"/>
      <w:bookmarkStart w:id="1" w:name="_Toc26148"/>
    </w:p>
    <w:p>
      <w:pPr>
        <w:rPr>
          <w:rFonts w:hint="eastAsia"/>
          <w:color w:val="auto"/>
          <w:highlight w:val="none"/>
        </w:rPr>
      </w:pPr>
    </w:p>
    <w:p>
      <w:pPr>
        <w:pStyle w:val="4"/>
        <w:rPr>
          <w:rFonts w:hint="eastAsia"/>
          <w:color w:val="auto"/>
          <w:highlight w:val="none"/>
        </w:rPr>
      </w:pPr>
      <w:bookmarkStart w:id="2" w:name="_Toc17696"/>
      <w:bookmarkStart w:id="3" w:name="_Toc1711"/>
    </w:p>
    <w:p>
      <w:pPr>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4"/>
        <w:rPr>
          <w:rFonts w:hint="eastAsia"/>
          <w:color w:val="auto"/>
          <w:highlight w:val="none"/>
        </w:rPr>
      </w:pPr>
      <w:bookmarkStart w:id="4" w:name="_Toc1669"/>
      <w:bookmarkStart w:id="5" w:name="_Toc4275"/>
      <w:bookmarkStart w:id="6" w:name="_Toc17801"/>
      <w:bookmarkStart w:id="7" w:name="_Toc31938"/>
      <w:bookmarkStart w:id="8" w:name="_Toc7519"/>
      <w:bookmarkStart w:id="9" w:name="_Toc19609"/>
      <w:bookmarkStart w:id="10" w:name="_Toc11322"/>
    </w:p>
    <w:p>
      <w:pPr>
        <w:pStyle w:val="4"/>
        <w:jc w:val="both"/>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2369820</wp:posOffset>
                </wp:positionH>
                <wp:positionV relativeFrom="paragraph">
                  <wp:posOffset>511175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6.6pt;margin-top:40.25pt;height:0pt;width:75.5pt;z-index:251671552;mso-width-relative:page;mso-height-relative:page;" filled="f" stroked="t" coordsize="21600,21600" o:gfxdata="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NPJhNcAAAAJ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8"/>
        <w:rPr>
          <w:color w:val="auto"/>
          <w:highlight w:val="none"/>
        </w:rPr>
      </w:pPr>
    </w:p>
    <w:p>
      <w:pPr>
        <w:pStyle w:val="4"/>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广州市净水有限公司大坦沙分公司2022年日常维护项目（10月市政工程类）</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施工  □货物 □服务项目采购活动，采用□</w:t>
      </w:r>
      <w:r>
        <w:rPr>
          <w:rFonts w:hint="eastAsia" w:ascii="仿宋_GB2312" w:eastAsia="仿宋_GB2312"/>
          <w:color w:val="auto"/>
          <w:sz w:val="28"/>
          <w:szCs w:val="28"/>
          <w:highlight w:val="none"/>
          <w:u w:val="none"/>
          <w:lang w:val="en-US" w:eastAsia="zh-CN"/>
        </w:rPr>
        <w:t>邀请</w:t>
      </w:r>
      <w:r>
        <w:rPr>
          <w:rFonts w:hint="eastAsia" w:ascii="仿宋_GB2312" w:eastAsia="仿宋_GB2312"/>
          <w:color w:val="auto"/>
          <w:sz w:val="28"/>
          <w:szCs w:val="28"/>
          <w:highlight w:val="none"/>
          <w:u w:val="none"/>
        </w:rPr>
        <w:t>询比</w:t>
      </w:r>
      <w:r>
        <w:rPr>
          <w:rFonts w:hint="eastAsia" w:ascii="仿宋_GB2312" w:eastAsia="仿宋_GB2312"/>
          <w:color w:val="auto"/>
          <w:sz w:val="28"/>
          <w:szCs w:val="28"/>
          <w:highlight w:val="none"/>
          <w:u w:val="none"/>
          <w:lang w:val="en-US" w:eastAsia="zh-CN"/>
        </w:rPr>
        <w:t xml:space="preserve">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non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广州市净水有限公司大坦沙分公司2022年日常维护项目（</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lang w:val="en-US" w:eastAsia="zh-CN"/>
        </w:rPr>
        <w:t>月市政工程类）</w:t>
      </w:r>
      <w:r>
        <w:rPr>
          <w:rFonts w:hint="eastAsia" w:ascii="仿宋_GB2312" w:eastAsia="仿宋_GB2312"/>
          <w:color w:val="auto"/>
          <w:sz w:val="28"/>
          <w:szCs w:val="28"/>
          <w:highlight w:val="none"/>
          <w:u w:val="none"/>
          <w:lang w:val="en-US" w:eastAsia="zh-CN"/>
        </w:rPr>
        <w:t>（项目一：大坦沙分公司三期离心脱水机房分离液管道维修项目、项目二：大坦沙分公司一二三期厂区排泥管道优化项目、项目三：广州市净水有限公司大坦沙分公司大坦沙分公司一期平流式沉砂池盖板维修项目）</w:t>
      </w:r>
      <w:r>
        <w:rPr>
          <w:rFonts w:hint="eastAsia" w:ascii="仿宋_GB2312" w:eastAsia="仿宋_GB2312"/>
          <w:color w:val="auto"/>
          <w:sz w:val="28"/>
          <w:szCs w:val="28"/>
          <w:highlight w:val="none"/>
        </w:rPr>
        <w:t xml:space="preserve"> </w:t>
      </w:r>
      <w:bookmarkStart w:id="137" w:name="_GoBack"/>
      <w:bookmarkEnd w:id="137"/>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XJ-20221103-1</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 w:hAnsi="仿宋" w:eastAsia="仿宋" w:cs="仿宋"/>
          <w:color w:val="auto"/>
          <w:sz w:val="28"/>
          <w:szCs w:val="28"/>
          <w:highlight w:val="none"/>
          <w:u w:val="single"/>
          <w:lang w:val="en-US" w:eastAsia="zh-CN"/>
        </w:rPr>
        <w:t>149434.78元，</w:t>
      </w:r>
      <w:r>
        <w:rPr>
          <w:rFonts w:hint="eastAsia" w:ascii="仿宋_GB2312" w:eastAsia="仿宋_GB2312"/>
          <w:color w:val="auto"/>
          <w:sz w:val="28"/>
          <w:szCs w:val="28"/>
          <w:highlight w:val="none"/>
          <w:u w:val="single"/>
        </w:rPr>
        <w:t>绿色施工安全防护措施费为非竞争性费用，报价时须按询价文件规定的金额填写，不得参与竞争，否则按无效报价处理。</w:t>
      </w:r>
    </w:p>
    <w:p>
      <w:pPr>
        <w:pStyle w:val="2"/>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各项目具体限价如下：</w:t>
      </w:r>
    </w:p>
    <w:p>
      <w:pPr>
        <w:pStyle w:val="3"/>
        <w:rPr>
          <w:rFonts w:hint="eastAsia"/>
          <w:color w:val="auto"/>
          <w:highlight w:val="none"/>
        </w:rPr>
      </w:pPr>
    </w:p>
    <w:tbl>
      <w:tblPr>
        <w:tblStyle w:val="23"/>
        <w:tblW w:w="93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17"/>
        <w:gridCol w:w="2579"/>
        <w:gridCol w:w="1972"/>
        <w:gridCol w:w="1740"/>
        <w:gridCol w:w="2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序号</w:t>
            </w:r>
          </w:p>
        </w:tc>
        <w:tc>
          <w:tcPr>
            <w:tcW w:w="25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项目名称</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发包预算价（单位：元）</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税前价（单位：元）</w:t>
            </w:r>
          </w:p>
        </w:tc>
        <w:tc>
          <w:tcPr>
            <w:tcW w:w="2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安措费（单位：元）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项目一</w:t>
            </w:r>
          </w:p>
        </w:tc>
        <w:tc>
          <w:tcPr>
            <w:tcW w:w="25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wordWrap/>
              <w:spacing w:line="240" w:lineRule="auto"/>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bidi="ar"/>
              </w:rPr>
              <w:t>大坦沙分公司三期离心脱水机房分离液管道维修项目</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bidi="ar"/>
              </w:rPr>
              <w:t>13591</w:t>
            </w:r>
            <w:r>
              <w:rPr>
                <w:rFonts w:hint="eastAsia" w:ascii="宋体" w:hAnsi="宋体" w:cs="宋体"/>
                <w:color w:val="auto"/>
                <w:kern w:val="0"/>
                <w:sz w:val="20"/>
                <w:szCs w:val="20"/>
                <w:highlight w:val="none"/>
                <w:lang w:val="en-US" w:eastAsia="zh-CN" w:bidi="ar"/>
              </w:rPr>
              <w:t>.</w:t>
            </w:r>
            <w:r>
              <w:rPr>
                <w:rFonts w:hint="eastAsia" w:ascii="宋体" w:hAnsi="宋体" w:eastAsia="宋体" w:cs="宋体"/>
                <w:color w:val="auto"/>
                <w:kern w:val="0"/>
                <w:sz w:val="20"/>
                <w:szCs w:val="20"/>
                <w:highlight w:val="none"/>
                <w:lang w:val="en-US" w:eastAsia="zh-CN" w:bidi="ar"/>
              </w:rPr>
              <w:t>38</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bidi="ar"/>
              </w:rPr>
              <w:t>12469.16</w:t>
            </w:r>
          </w:p>
        </w:tc>
        <w:tc>
          <w:tcPr>
            <w:tcW w:w="2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wordWrap/>
              <w:spacing w:line="240" w:lineRule="auto"/>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bidi="ar"/>
              </w:rPr>
              <w:t>按费率计算的绿色施工安全防护措施费为1843.53元。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项目二</w:t>
            </w:r>
          </w:p>
        </w:tc>
        <w:tc>
          <w:tcPr>
            <w:tcW w:w="25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
              </w:rPr>
              <w:t>大坦沙分公司一二三期厂区排泥管道优化项目</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
              </w:rPr>
              <w:t>47482</w:t>
            </w:r>
            <w:r>
              <w:rPr>
                <w:rFonts w:hint="eastAsia" w:ascii="宋体" w:hAnsi="宋体" w:cs="宋体"/>
                <w:color w:val="auto"/>
                <w:kern w:val="0"/>
                <w:sz w:val="20"/>
                <w:szCs w:val="20"/>
                <w:highlight w:val="none"/>
                <w:lang w:val="en-US" w:eastAsia="zh-CN" w:bidi="ar"/>
              </w:rPr>
              <w:t>.</w:t>
            </w:r>
            <w:r>
              <w:rPr>
                <w:rFonts w:hint="eastAsia" w:ascii="宋体" w:hAnsi="宋体" w:eastAsia="宋体" w:cs="宋体"/>
                <w:color w:val="auto"/>
                <w:kern w:val="0"/>
                <w:sz w:val="20"/>
                <w:szCs w:val="20"/>
                <w:highlight w:val="none"/>
                <w:lang w:val="en-US" w:eastAsia="zh-CN" w:bidi="ar"/>
              </w:rPr>
              <w:t>63</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
              </w:rPr>
              <w:t>43562.05</w:t>
            </w:r>
          </w:p>
        </w:tc>
        <w:tc>
          <w:tcPr>
            <w:tcW w:w="2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按费率计算的绿色施工安全防护措施费为4145.50元</w:t>
            </w:r>
            <w:r>
              <w:rPr>
                <w:rFonts w:hint="eastAsia" w:ascii="宋体" w:hAnsi="宋体" w:cs="宋体"/>
                <w:color w:val="auto"/>
                <w:kern w:val="0"/>
                <w:sz w:val="20"/>
                <w:szCs w:val="20"/>
                <w:highlight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8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wordWrap/>
              <w:spacing w:line="240" w:lineRule="auto"/>
              <w:jc w:val="center"/>
              <w:textAlignment w:val="center"/>
              <w:rPr>
                <w:rFonts w:hint="default" w:ascii="宋体" w:hAnsi="宋体"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项目三</w:t>
            </w:r>
          </w:p>
        </w:tc>
        <w:tc>
          <w:tcPr>
            <w:tcW w:w="2579" w:type="dxa"/>
            <w:tcBorders>
              <w:top w:val="single" w:color="000000" w:sz="4" w:space="0"/>
              <w:left w:val="single" w:color="000000" w:sz="4" w:space="0"/>
              <w:bottom w:val="single" w:color="000000" w:sz="4" w:space="0"/>
              <w:right w:val="single" w:color="000000" w:sz="4" w:space="0"/>
            </w:tcBorders>
            <w:noWrap w:val="0"/>
            <w:vAlign w:val="center"/>
          </w:tcPr>
          <w:p>
            <w:pPr>
              <w:pStyle w:val="50"/>
              <w:rPr>
                <w:color w:val="auto"/>
                <w:highlight w:val="none"/>
                <w:lang w:val="en-US" w:eastAsia="zh-CN"/>
              </w:rPr>
            </w:pPr>
            <w:r>
              <w:rPr>
                <w:rFonts w:hint="eastAsia" w:ascii="宋体" w:hAnsi="宋体" w:eastAsia="宋体" w:cs="宋体"/>
                <w:color w:val="auto"/>
                <w:kern w:val="0"/>
                <w:sz w:val="20"/>
                <w:szCs w:val="20"/>
                <w:highlight w:val="none"/>
                <w:lang w:val="en-US" w:eastAsia="zh-CN" w:bidi="ar"/>
              </w:rPr>
              <w:t>广州市净水有限公司大坦沙分公司大坦沙分公司一期平流式沉砂池盖板维修项目</w:t>
            </w:r>
          </w:p>
        </w:tc>
        <w:tc>
          <w:tcPr>
            <w:tcW w:w="19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88360.77</w:t>
            </w:r>
          </w:p>
        </w:tc>
        <w:tc>
          <w:tcPr>
            <w:tcW w:w="17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81064.93</w:t>
            </w:r>
          </w:p>
        </w:tc>
        <w:tc>
          <w:tcPr>
            <w:tcW w:w="2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按费率计算的绿色施工安全防护措施费为3678.44元.</w:t>
            </w:r>
          </w:p>
        </w:tc>
      </w:tr>
    </w:tbl>
    <w:p>
      <w:pPr>
        <w:pStyle w:val="7"/>
        <w:ind w:left="0" w:leftChars="0" w:firstLine="0" w:firstLineChars="0"/>
        <w:rPr>
          <w:rFonts w:hint="eastAsia"/>
          <w:color w:val="auto"/>
          <w:highlight w:val="none"/>
        </w:rPr>
      </w:pP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2.1采购内容和范围：</w:t>
      </w:r>
    </w:p>
    <w:p>
      <w:pPr>
        <w:pStyle w:val="50"/>
        <w:ind w:firstLine="562" w:firstLineChars="200"/>
        <w:rPr>
          <w:rFonts w:hint="eastAsia" w:ascii="仿宋_GB2312" w:hAnsi="仿宋_GB2312" w:eastAsia="仿宋_GB2312" w:cs="仿宋_GB2312"/>
          <w:color w:val="auto"/>
          <w:sz w:val="28"/>
          <w:szCs w:val="28"/>
          <w:highlight w:val="none"/>
          <w:u w:val="single"/>
          <w:lang w:val="en-US" w:eastAsia="zh-CN"/>
        </w:rPr>
      </w:pPr>
      <w:r>
        <w:rPr>
          <w:rFonts w:hint="eastAsia" w:ascii="仿宋" w:hAnsi="仿宋" w:eastAsia="仿宋" w:cs="仿宋"/>
          <w:b/>
          <w:bCs/>
          <w:color w:val="auto"/>
          <w:sz w:val="28"/>
          <w:szCs w:val="28"/>
          <w:highlight w:val="none"/>
          <w:u w:val="single"/>
          <w:lang w:val="en-US" w:eastAsia="zh-CN"/>
        </w:rPr>
        <w:t>项目一：大坦沙分公司三期离心脱水机房分离液管道维修项目</w:t>
      </w:r>
    </w:p>
    <w:p>
      <w:pPr>
        <w:bidi w:val="0"/>
        <w:ind w:firstLine="560" w:firstLineChars="200"/>
        <w:jc w:val="left"/>
        <w:rPr>
          <w:rFonts w:hint="eastAsia" w:ascii="仿宋" w:hAnsi="仿宋" w:eastAsia="仿宋" w:cs="仿宋"/>
          <w:color w:val="auto"/>
          <w:kern w:val="2"/>
          <w:sz w:val="28"/>
          <w:szCs w:val="28"/>
          <w:highlight w:val="none"/>
          <w:u w:val="single"/>
          <w:lang w:val="en-US" w:eastAsia="zh-CN" w:bidi="ar-SA"/>
        </w:rPr>
      </w:pPr>
      <w:r>
        <w:rPr>
          <w:rFonts w:hint="eastAsia" w:ascii="仿宋" w:hAnsi="仿宋" w:eastAsia="仿宋" w:cs="仿宋"/>
          <w:color w:val="auto"/>
          <w:kern w:val="2"/>
          <w:sz w:val="28"/>
          <w:szCs w:val="28"/>
          <w:highlight w:val="none"/>
          <w:u w:val="single"/>
          <w:lang w:val="en-US" w:eastAsia="zh-CN" w:bidi="ar-SA"/>
        </w:rPr>
        <w:t>大坦沙分公司离心脱水机分离液污水收集管已使用多年，当离心脱水机排液过程中会一直对管道有所冲击，并且分离液存在一定腐蚀性，现在污水收集管出现泄漏喷涌情况，施工开挖路面后先对穿孔进行补焊再用哈夫节套管修复。</w:t>
      </w:r>
    </w:p>
    <w:p>
      <w:pPr>
        <w:pStyle w:val="3"/>
        <w:numPr>
          <w:ilvl w:val="0"/>
          <w:numId w:val="0"/>
        </w:numPr>
        <w:spacing w:line="360" w:lineRule="auto"/>
        <w:ind w:firstLine="562" w:firstLineChars="200"/>
        <w:rPr>
          <w:rFonts w:hint="eastAsia" w:ascii="仿宋" w:hAnsi="仿宋" w:eastAsia="仿宋" w:cs="仿宋"/>
          <w:color w:val="auto"/>
          <w:sz w:val="28"/>
          <w:szCs w:val="28"/>
          <w:highlight w:val="none"/>
          <w:u w:val="single"/>
          <w:lang w:val="en-US" w:eastAsia="zh-CN"/>
        </w:rPr>
      </w:pPr>
      <w:r>
        <w:rPr>
          <w:rFonts w:hint="eastAsia" w:ascii="仿宋" w:hAnsi="仿宋" w:eastAsia="仿宋" w:cs="仿宋"/>
          <w:b/>
          <w:bCs/>
          <w:color w:val="auto"/>
          <w:sz w:val="28"/>
          <w:szCs w:val="28"/>
          <w:highlight w:val="none"/>
          <w:u w:val="single"/>
          <w:lang w:val="en-US" w:eastAsia="zh-CN"/>
        </w:rPr>
        <w:t>项目二：</w:t>
      </w:r>
      <w:r>
        <w:rPr>
          <w:rFonts w:hint="eastAsia" w:ascii="仿宋" w:hAnsi="仿宋" w:eastAsia="仿宋" w:cs="仿宋"/>
          <w:b/>
          <w:bCs/>
          <w:color w:val="auto"/>
          <w:kern w:val="2"/>
          <w:sz w:val="28"/>
          <w:szCs w:val="28"/>
          <w:highlight w:val="none"/>
          <w:u w:val="single"/>
          <w:lang w:val="en-US" w:eastAsia="zh-CN" w:bidi="ar-SA"/>
        </w:rPr>
        <w:t>大坦沙分公司一二三期厂区排泥管道优化项目</w:t>
      </w:r>
    </w:p>
    <w:p>
      <w:pPr>
        <w:bidi w:val="0"/>
        <w:ind w:firstLine="560" w:firstLineChars="200"/>
        <w:jc w:val="left"/>
        <w:rPr>
          <w:rFonts w:hint="eastAsia" w:ascii="仿宋" w:hAnsi="仿宋" w:eastAsia="仿宋" w:cs="仿宋"/>
          <w:color w:val="auto"/>
          <w:kern w:val="2"/>
          <w:sz w:val="28"/>
          <w:szCs w:val="28"/>
          <w:highlight w:val="none"/>
          <w:u w:val="single"/>
          <w:lang w:val="en-US" w:eastAsia="zh-CN" w:bidi="ar-SA"/>
        </w:rPr>
      </w:pPr>
      <w:r>
        <w:rPr>
          <w:rFonts w:hint="eastAsia" w:ascii="仿宋" w:hAnsi="仿宋" w:eastAsia="仿宋" w:cs="仿宋"/>
          <w:color w:val="auto"/>
          <w:kern w:val="2"/>
          <w:sz w:val="28"/>
          <w:szCs w:val="28"/>
          <w:highlight w:val="none"/>
          <w:u w:val="single"/>
          <w:lang w:val="en-US" w:eastAsia="zh-CN" w:bidi="ar-SA"/>
        </w:rPr>
        <w:t>大坦沙分公司为满足生产需要以及发生特殊情况时可以实现一二期厂区、三期厂区污泥可以灵活调换，通过了解厂内管道现况后对其进行管道加接及小改造优化。</w:t>
      </w:r>
    </w:p>
    <w:p>
      <w:pPr>
        <w:keepNext w:val="0"/>
        <w:keepLines w:val="0"/>
        <w:widowControl/>
        <w:suppressLineNumbers w:val="0"/>
        <w:wordWrap/>
        <w:spacing w:line="240" w:lineRule="auto"/>
        <w:ind w:firstLine="562" w:firstLineChars="200"/>
        <w:jc w:val="left"/>
        <w:textAlignment w:val="center"/>
        <w:rPr>
          <w:rFonts w:hint="eastAsia" w:ascii="仿宋" w:hAnsi="仿宋" w:eastAsia="仿宋" w:cs="仿宋"/>
          <w:b/>
          <w:bCs/>
          <w:color w:val="auto"/>
          <w:kern w:val="2"/>
          <w:sz w:val="28"/>
          <w:szCs w:val="28"/>
          <w:highlight w:val="none"/>
          <w:u w:val="single"/>
          <w:lang w:val="en-US" w:eastAsia="zh-CN" w:bidi="ar-SA"/>
        </w:rPr>
      </w:pPr>
      <w:r>
        <w:rPr>
          <w:rFonts w:hint="eastAsia" w:ascii="仿宋" w:hAnsi="仿宋" w:eastAsia="仿宋" w:cs="仿宋"/>
          <w:b/>
          <w:bCs/>
          <w:color w:val="auto"/>
          <w:kern w:val="2"/>
          <w:sz w:val="28"/>
          <w:szCs w:val="28"/>
          <w:highlight w:val="none"/>
          <w:u w:val="single"/>
          <w:lang w:val="en-US" w:eastAsia="zh-CN" w:bidi="ar-SA"/>
        </w:rPr>
        <w:t>项目三：大坦沙分公司一期平流式沉砂池盖板维修项目</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hAnsi="Times New Roman" w:eastAsia="仿宋_GB2312" w:cs="Times New Roman"/>
          <w:color w:val="auto"/>
          <w:kern w:val="2"/>
          <w:sz w:val="30"/>
          <w:szCs w:val="30"/>
          <w:highlight w:val="none"/>
          <w:u w:val="single"/>
          <w:lang w:val="en-US" w:eastAsia="zh-CN" w:bidi="ar"/>
        </w:rPr>
        <w:t>大坦沙分公司一二期平流式沉砂池北侧靠近居民生活区，盖板缺失或密封失效除臭效果减弱，气味散发影响周边居民生活区。同时现平流式盖板已严重破损，</w:t>
      </w:r>
      <w:r>
        <w:rPr>
          <w:rFonts w:hint="eastAsia" w:ascii="仿宋_GB2312" w:eastAsia="仿宋_GB2312" w:cs="Times New Roman"/>
          <w:color w:val="auto"/>
          <w:kern w:val="2"/>
          <w:sz w:val="30"/>
          <w:szCs w:val="30"/>
          <w:highlight w:val="none"/>
          <w:u w:val="single"/>
          <w:lang w:val="en-US" w:eastAsia="zh-CN" w:bidi="ar"/>
        </w:rPr>
        <w:t>拟进行修复。</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u w:val="single"/>
          <w:lang w:val="en-US" w:eastAsia="zh-CN"/>
        </w:rPr>
        <w:t>40个日历日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建设地点  □交货地点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广州市净水有限公司大坦沙分公司                                 </w:t>
      </w:r>
      <w:r>
        <w:rPr>
          <w:rFonts w:hint="eastAsia" w:ascii="仿宋_GB2312" w:eastAsia="仿宋_GB2312"/>
          <w:color w:val="auto"/>
          <w:sz w:val="28"/>
          <w:szCs w:val="28"/>
          <w:highlight w:val="none"/>
          <w:u w:val="single"/>
        </w:rPr>
        <w:t xml:space="preserve">        </w:t>
      </w:r>
    </w:p>
    <w:p>
      <w:pPr>
        <w:pStyle w:val="21"/>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jc w:val="both"/>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施工质量要求标准如下：</w:t>
      </w:r>
      <w:r>
        <w:rPr>
          <w:rFonts w:hint="eastAsia" w:ascii="仿宋_GB2312" w:eastAsia="仿宋_GB2312"/>
          <w:color w:val="auto"/>
          <w:sz w:val="28"/>
          <w:szCs w:val="28"/>
          <w:highlight w:val="none"/>
          <w:lang w:val="en-US" w:eastAsia="zh-CN"/>
        </w:rPr>
        <w:t>详见第五章采购需求</w:t>
      </w:r>
      <w:r>
        <w:rPr>
          <w:rFonts w:hint="eastAsia" w:ascii="仿宋_GB2312" w:eastAsia="仿宋_GB2312"/>
          <w:color w:val="auto"/>
          <w:sz w:val="28"/>
          <w:szCs w:val="28"/>
          <w:highlight w:val="none"/>
        </w:rPr>
        <w:t xml:space="preserve">   □货物质量标准或主要技术性能指标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服务质量要求或服务</w:t>
      </w:r>
    </w:p>
    <w:p>
      <w:pPr>
        <w:adjustRightInd w:val="0"/>
        <w:snapToGrid w:val="0"/>
        <w:spacing w:line="600" w:lineRule="exact"/>
        <w:ind w:left="0" w:right="-370" w:rightChars="-176" w:firstLine="0" w:firstLineChars="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numPr>
          <w:ilvl w:val="-1"/>
          <w:numId w:val="0"/>
        </w:numPr>
        <w:adjustRightInd w:val="0"/>
        <w:snapToGrid w:val="0"/>
        <w:spacing w:line="600" w:lineRule="exact"/>
        <w:ind w:left="0" w:leftChars="0" w:firstLine="0" w:firstLineChars="0"/>
        <w:jc w:val="left"/>
        <w:rPr>
          <w:rFonts w:hint="eastAsia" w:ascii="仿宋" w:hAnsi="仿宋" w:eastAsia="仿宋" w:cs="仿宋"/>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none"/>
        </w:rPr>
        <w:t>供应商应当具备</w:t>
      </w:r>
      <w:r>
        <w:rPr>
          <w:rFonts w:hint="eastAsia" w:ascii="仿宋" w:hAnsi="仿宋" w:eastAsia="仿宋" w:cs="仿宋_GB2312"/>
          <w:color w:val="auto"/>
          <w:sz w:val="28"/>
          <w:szCs w:val="28"/>
          <w:highlight w:val="none"/>
          <w:u w:val="none"/>
          <w:lang w:val="en-US" w:eastAsia="zh-CN"/>
        </w:rPr>
        <w:t>市政公用</w:t>
      </w:r>
      <w:r>
        <w:rPr>
          <w:rFonts w:hint="eastAsia" w:ascii="仿宋" w:hAnsi="仿宋" w:eastAsia="仿宋" w:cs="仿宋"/>
          <w:color w:val="auto"/>
          <w:sz w:val="28"/>
          <w:szCs w:val="28"/>
          <w:highlight w:val="none"/>
          <w:u w:val="none"/>
          <w:lang w:val="en-US" w:eastAsia="zh-CN"/>
        </w:rPr>
        <w:t>工程施工总承包资质三级（或以上）资质，同时具有</w:t>
      </w:r>
      <w:r>
        <w:rPr>
          <w:rFonts w:hint="eastAsia" w:ascii="仿宋" w:hAnsi="仿宋" w:eastAsia="仿宋" w:cs="仿宋"/>
          <w:color w:val="auto"/>
          <w:sz w:val="28"/>
          <w:szCs w:val="28"/>
          <w:highlight w:val="none"/>
          <w:u w:val="none"/>
        </w:rPr>
        <w:t>建设主管部门颁发且在有效期内的《安全生产许可证》。</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 w:hAnsi="仿宋" w:eastAsia="仿宋" w:cs="仿宋"/>
          <w:color w:val="auto"/>
          <w:kern w:val="0"/>
          <w:sz w:val="28"/>
          <w:szCs w:val="28"/>
          <w:highlight w:val="none"/>
          <w:u w:val="none"/>
        </w:rPr>
        <w:t>201</w:t>
      </w:r>
      <w:r>
        <w:rPr>
          <w:rFonts w:hint="eastAsia" w:ascii="仿宋" w:hAnsi="仿宋" w:eastAsia="仿宋" w:cs="仿宋"/>
          <w:color w:val="auto"/>
          <w:kern w:val="0"/>
          <w:sz w:val="28"/>
          <w:szCs w:val="28"/>
          <w:highlight w:val="none"/>
          <w:u w:val="none"/>
          <w:lang w:val="en-US" w:eastAsia="zh-CN"/>
        </w:rPr>
        <w:t>9</w:t>
      </w:r>
      <w:r>
        <w:rPr>
          <w:rFonts w:hint="eastAsia" w:ascii="仿宋" w:hAnsi="仿宋" w:eastAsia="仿宋" w:cs="仿宋"/>
          <w:color w:val="auto"/>
          <w:kern w:val="0"/>
          <w:sz w:val="28"/>
          <w:szCs w:val="28"/>
          <w:highlight w:val="none"/>
          <w:u w:val="none"/>
        </w:rPr>
        <w:t>年1月1日至今</w:t>
      </w:r>
      <w:r>
        <w:rPr>
          <w:rFonts w:hint="eastAsia" w:ascii="仿宋" w:hAnsi="仿宋" w:eastAsia="仿宋" w:cs="仿宋"/>
          <w:color w:val="auto"/>
          <w:kern w:val="0"/>
          <w:sz w:val="28"/>
          <w:szCs w:val="28"/>
          <w:highlight w:val="none"/>
          <w:u w:val="none"/>
          <w:lang w:eastAsia="zh-CN"/>
        </w:rPr>
        <w:t>，</w:t>
      </w:r>
      <w:r>
        <w:rPr>
          <w:rFonts w:hint="eastAsia" w:ascii="仿宋" w:hAnsi="仿宋" w:eastAsia="仿宋" w:cs="仿宋"/>
          <w:color w:val="auto"/>
          <w:kern w:val="0"/>
          <w:sz w:val="28"/>
          <w:szCs w:val="28"/>
          <w:highlight w:val="none"/>
          <w:u w:val="none"/>
          <w:lang w:val="en-US" w:eastAsia="zh-CN"/>
        </w:rPr>
        <w:t>最少</w:t>
      </w:r>
      <w:r>
        <w:rPr>
          <w:rFonts w:hint="eastAsia" w:ascii="仿宋" w:hAnsi="仿宋" w:eastAsia="仿宋" w:cs="仿宋"/>
          <w:color w:val="auto"/>
          <w:kern w:val="0"/>
          <w:sz w:val="28"/>
          <w:szCs w:val="28"/>
          <w:highlight w:val="none"/>
          <w:u w:val="none"/>
        </w:rPr>
        <w:t>具有</w:t>
      </w:r>
      <w:r>
        <w:rPr>
          <w:rFonts w:hint="eastAsia" w:ascii="仿宋" w:hAnsi="仿宋" w:eastAsia="仿宋" w:cs="仿宋"/>
          <w:color w:val="auto"/>
          <w:kern w:val="0"/>
          <w:sz w:val="28"/>
          <w:szCs w:val="28"/>
          <w:highlight w:val="none"/>
          <w:u w:val="none"/>
          <w:lang w:val="en-US" w:eastAsia="zh-CN"/>
        </w:rPr>
        <w:t>一项市政类项目</w:t>
      </w:r>
      <w:r>
        <w:rPr>
          <w:rFonts w:hint="eastAsia" w:ascii="仿宋" w:hAnsi="仿宋" w:eastAsia="仿宋" w:cs="仿宋"/>
          <w:color w:val="auto"/>
          <w:kern w:val="0"/>
          <w:sz w:val="28"/>
          <w:szCs w:val="28"/>
          <w:highlight w:val="none"/>
          <w:u w:val="none"/>
        </w:rPr>
        <w:t>业绩</w:t>
      </w:r>
      <w:r>
        <w:rPr>
          <w:rFonts w:hint="eastAsia" w:ascii="仿宋_GB2312" w:eastAsia="仿宋_GB2312"/>
          <w:color w:val="auto"/>
          <w:sz w:val="28"/>
          <w:szCs w:val="28"/>
          <w:highlight w:val="none"/>
        </w:rPr>
        <w:t>。（提供合同复印件证明，包括但不限于项目名称、金额及实施内容、合同盖章、签订日期，加盖单位公章）</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）报价单位拟担任本工程项目负责人和安全员的人员资质须满足下列要求，且项目负责人不得同时兼任本项目专职安全人员；</w:t>
      </w:r>
    </w:p>
    <w:p>
      <w:pPr>
        <w:pStyle w:val="21"/>
        <w:widowControl/>
        <w:pBdr>
          <w:top w:val="none" w:color="auto" w:sz="0" w:space="0"/>
          <w:left w:val="none" w:color="auto" w:sz="0" w:space="0"/>
          <w:bottom w:val="none" w:color="auto" w:sz="0" w:space="0"/>
          <w:right w:val="none" w:color="auto" w:sz="0" w:space="0"/>
        </w:pBdr>
        <w:shd w:val="clear" w:color="auto" w:fill="FFFFFF"/>
        <w:adjustRightInd w:val="0"/>
        <w:snapToGrid w:val="0"/>
        <w:spacing w:before="0" w:beforeAutospacing="0" w:after="0" w:afterAutospacing="0" w:line="600" w:lineRule="exact"/>
        <w:ind w:firstLine="560" w:firstLineChars="200"/>
        <w:jc w:val="both"/>
        <w:rPr>
          <w:rFonts w:hint="eastAsia" w:ascii="仿宋" w:hAnsi="仿宋" w:eastAsia="仿宋" w:cs="仿宋"/>
          <w:color w:val="auto"/>
          <w:sz w:val="28"/>
          <w:szCs w:val="28"/>
          <w:highlight w:val="none"/>
          <w:u w:val="none"/>
        </w:rPr>
      </w:pPr>
      <w:r>
        <w:rPr>
          <w:rFonts w:hint="eastAsia" w:ascii="仿宋" w:hAnsi="仿宋" w:eastAsia="仿宋" w:cs="仿宋"/>
          <w:color w:val="auto"/>
          <w:sz w:val="28"/>
          <w:szCs w:val="28"/>
          <w:highlight w:val="none"/>
          <w:u w:val="none"/>
          <w:lang w:val="en-US" w:eastAsia="zh-CN"/>
        </w:rPr>
        <w:t>1）</w:t>
      </w:r>
      <w:r>
        <w:rPr>
          <w:rFonts w:hint="eastAsia" w:ascii="仿宋" w:hAnsi="仿宋" w:eastAsia="仿宋" w:cs="仿宋"/>
          <w:color w:val="auto"/>
          <w:sz w:val="28"/>
          <w:szCs w:val="28"/>
          <w:highlight w:val="none"/>
          <w:u w:val="none"/>
        </w:rPr>
        <w:t>负责人要求：</w:t>
      </w:r>
      <w:r>
        <w:rPr>
          <w:rFonts w:hint="eastAsia" w:ascii="仿宋" w:hAnsi="仿宋" w:eastAsia="仿宋" w:cs="仿宋"/>
          <w:color w:val="auto"/>
          <w:sz w:val="28"/>
          <w:szCs w:val="28"/>
          <w:highlight w:val="none"/>
          <w:u w:val="none"/>
          <w:lang w:val="en-US" w:eastAsia="zh-CN"/>
        </w:rPr>
        <w:t>市政</w:t>
      </w:r>
      <w:r>
        <w:rPr>
          <w:rFonts w:hint="eastAsia" w:ascii="仿宋" w:hAnsi="仿宋" w:eastAsia="仿宋" w:cs="仿宋"/>
          <w:color w:val="auto"/>
          <w:sz w:val="28"/>
          <w:szCs w:val="28"/>
          <w:highlight w:val="none"/>
          <w:u w:val="none"/>
        </w:rPr>
        <w:t>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r>
        <w:rPr>
          <w:rFonts w:hint="eastAsia" w:ascii="仿宋" w:hAnsi="仿宋" w:eastAsia="仿宋" w:cs="仿宋"/>
          <w:color w:val="auto"/>
          <w:sz w:val="28"/>
          <w:szCs w:val="28"/>
          <w:highlight w:val="none"/>
          <w:u w:val="none"/>
          <w:lang w:eastAsia="zh-CN"/>
        </w:rPr>
        <w:t>。</w:t>
      </w:r>
      <w:r>
        <w:rPr>
          <w:rFonts w:hint="eastAsia" w:ascii="仿宋" w:hAnsi="仿宋" w:eastAsia="仿宋" w:cs="仿宋"/>
          <w:b w:val="0"/>
          <w:bCs w:val="0"/>
          <w:color w:val="auto"/>
          <w:sz w:val="28"/>
          <w:szCs w:val="28"/>
          <w:highlight w:val="none"/>
          <w:u w:val="none"/>
          <w:lang w:val="en-US" w:eastAsia="zh-CN"/>
        </w:rPr>
        <w:t>广东省外注册的二级建造师人员暂不能在我省执业</w:t>
      </w:r>
      <w:r>
        <w:rPr>
          <w:rFonts w:hint="eastAsia" w:ascii="仿宋" w:hAnsi="仿宋" w:eastAsia="仿宋" w:cs="仿宋"/>
          <w:color w:val="auto"/>
          <w:sz w:val="28"/>
          <w:szCs w:val="28"/>
          <w:highlight w:val="none"/>
          <w:u w:val="none"/>
        </w:rPr>
        <w:t>）</w:t>
      </w:r>
    </w:p>
    <w:p>
      <w:pPr>
        <w:pStyle w:val="21"/>
        <w:widowControl/>
        <w:pBdr>
          <w:top w:val="none" w:color="auto" w:sz="0" w:space="0"/>
          <w:left w:val="none" w:color="auto" w:sz="0" w:space="0"/>
          <w:bottom w:val="none" w:color="auto" w:sz="0" w:space="0"/>
          <w:right w:val="none" w:color="auto" w:sz="0" w:space="0"/>
        </w:pBdr>
        <w:shd w:val="clear" w:color="auto" w:fill="FFFFFF"/>
        <w:adjustRightInd w:val="0"/>
        <w:snapToGrid w:val="0"/>
        <w:spacing w:before="0" w:beforeAutospacing="0" w:after="0" w:afterAutospacing="0" w:line="600" w:lineRule="exact"/>
        <w:ind w:firstLine="560" w:firstLineChars="200"/>
        <w:jc w:val="both"/>
        <w:rPr>
          <w:rFonts w:ascii="仿宋_GB2312" w:eastAsia="仿宋_GB2312"/>
          <w:color w:val="auto"/>
          <w:sz w:val="28"/>
          <w:szCs w:val="28"/>
          <w:highlight w:val="none"/>
          <w:u w:val="none"/>
        </w:rPr>
      </w:pPr>
      <w:r>
        <w:rPr>
          <w:rFonts w:hint="eastAsia" w:ascii="仿宋" w:hAnsi="仿宋" w:eastAsia="仿宋" w:cs="仿宋"/>
          <w:color w:val="auto"/>
          <w:sz w:val="28"/>
          <w:szCs w:val="28"/>
          <w:highlight w:val="none"/>
          <w:u w:val="none"/>
          <w:lang w:val="en-US" w:eastAsia="zh-CN"/>
        </w:rPr>
        <w:t>2）</w:t>
      </w:r>
      <w:r>
        <w:rPr>
          <w:rFonts w:hint="eastAsia" w:ascii="仿宋" w:hAnsi="仿宋" w:eastAsia="仿宋" w:cs="仿宋"/>
          <w:color w:val="auto"/>
          <w:sz w:val="28"/>
          <w:szCs w:val="28"/>
          <w:highlight w:val="none"/>
          <w:u w:val="none"/>
        </w:rPr>
        <w:t>专职安全人员要求：须具有安全生产考核合格证（C类）（或能够提供广东省建筑施工企业管理人员安全生产考核信息系统安全生产管理人员证书信息的网页截图）。</w:t>
      </w:r>
    </w:p>
    <w:p>
      <w:pPr>
        <w:pStyle w:val="22"/>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non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 w:hAnsi="仿宋" w:eastAsia="仿宋" w:cs="仿宋"/>
          <w:color w:val="auto"/>
          <w:sz w:val="28"/>
          <w:szCs w:val="28"/>
          <w:highlight w:val="none"/>
          <w:u w:val="single"/>
        </w:rPr>
        <w:t>2022</w:t>
      </w:r>
      <w:r>
        <w:rPr>
          <w:rFonts w:hint="eastAsia" w:ascii="仿宋" w:hAnsi="仿宋" w:eastAsia="仿宋" w:cs="仿宋"/>
          <w:color w:val="auto"/>
          <w:sz w:val="28"/>
          <w:szCs w:val="28"/>
          <w:highlight w:val="none"/>
          <w:lang w:val="en-US" w:eastAsia="zh-CN"/>
        </w:rPr>
        <w:t>年</w:t>
      </w:r>
      <w:r>
        <w:rPr>
          <w:rFonts w:hint="eastAsia" w:ascii="仿宋" w:hAnsi="仿宋" w:eastAsia="仿宋" w:cs="仿宋"/>
          <w:color w:val="auto"/>
          <w:sz w:val="28"/>
          <w:szCs w:val="28"/>
          <w:highlight w:val="none"/>
          <w:u w:val="singl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lang w:val="en-US" w:eastAsia="zh-CN"/>
        </w:rPr>
        <w:t>4</w:t>
      </w:r>
      <w:r>
        <w:rPr>
          <w:rFonts w:hint="eastAsia" w:ascii="仿宋" w:hAnsi="仿宋" w:eastAsia="仿宋" w:cs="仿宋"/>
          <w:color w:val="auto"/>
          <w:sz w:val="28"/>
          <w:szCs w:val="28"/>
          <w:highlight w:val="none"/>
        </w:rPr>
        <w:t>日至</w:t>
      </w:r>
      <w:r>
        <w:rPr>
          <w:rFonts w:hint="eastAsia" w:ascii="仿宋" w:hAnsi="仿宋" w:eastAsia="仿宋" w:cs="仿宋"/>
          <w:color w:val="auto"/>
          <w:sz w:val="28"/>
          <w:szCs w:val="28"/>
          <w:highlight w:val="none"/>
          <w:u w:val="single"/>
        </w:rPr>
        <w:t>2022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lang w:val="en-US" w:eastAsia="zh-CN"/>
        </w:rPr>
        <w:t>8</w:t>
      </w:r>
      <w:r>
        <w:rPr>
          <w:rFonts w:hint="eastAsia" w:ascii="仿宋" w:hAnsi="仿宋" w:eastAsia="仿宋" w:cs="仿宋"/>
          <w:color w:val="auto"/>
          <w:sz w:val="28"/>
          <w:szCs w:val="28"/>
          <w:highlight w:val="none"/>
        </w:rPr>
        <w:t>日</w:t>
      </w:r>
      <w:r>
        <w:rPr>
          <w:rFonts w:hint="eastAsia" w:ascii="仿宋_GB2312" w:eastAsia="仿宋_GB2312"/>
          <w:color w:val="auto"/>
          <w:sz w:val="28"/>
          <w:szCs w:val="28"/>
          <w:highlight w:val="none"/>
        </w:rPr>
        <w:t>（北京时间）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600" w:lineRule="exact"/>
        <w:rPr>
          <w:rFonts w:hint="eastAsia" w:ascii="仿宋_GB2312" w:eastAsia="仿宋_GB2312"/>
          <w:color w:val="auto"/>
          <w:sz w:val="28"/>
          <w:szCs w:val="28"/>
          <w:highlight w:val="none"/>
          <w:lang w:val="zh-CN" w:eastAsia="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供应商可</w:t>
      </w:r>
      <w:r>
        <w:rPr>
          <w:rFonts w:hint="eastAsia" w:ascii="仿宋_GB2312" w:eastAsia="仿宋_GB2312"/>
          <w:color w:val="auto"/>
          <w:sz w:val="28"/>
          <w:szCs w:val="28"/>
          <w:highlight w:val="none"/>
          <w:lang w:val="zh-CN" w:eastAsia="zh-CN"/>
        </w:rPr>
        <w:t>自行</w:t>
      </w:r>
      <w:r>
        <w:rPr>
          <w:rFonts w:hint="eastAsia" w:ascii="仿宋_GB2312" w:eastAsia="仿宋_GB2312"/>
          <w:color w:val="auto"/>
          <w:sz w:val="28"/>
          <w:szCs w:val="28"/>
          <w:highlight w:val="none"/>
          <w:lang w:val="en-US" w:eastAsia="zh-CN"/>
        </w:rPr>
        <w:t>选择是否前往现场踏勘</w:t>
      </w:r>
      <w:r>
        <w:rPr>
          <w:rFonts w:hint="eastAsia" w:ascii="仿宋_GB2312" w:eastAsia="仿宋_GB2312"/>
          <w:color w:val="auto"/>
          <w:sz w:val="28"/>
          <w:szCs w:val="28"/>
          <w:highlight w:val="none"/>
          <w:lang w:val="zh-CN" w:eastAsia="zh-CN"/>
        </w:rPr>
        <w:t>，</w:t>
      </w:r>
      <w:r>
        <w:rPr>
          <w:rFonts w:hint="eastAsia" w:ascii="仿宋_GB2312" w:eastAsia="仿宋_GB2312"/>
          <w:color w:val="auto"/>
          <w:sz w:val="28"/>
          <w:szCs w:val="28"/>
          <w:highlight w:val="none"/>
          <w:lang w:val="en-US" w:eastAsia="zh-CN"/>
        </w:rPr>
        <w:t>若前往现场踏勘须在规定时间内到达集中地点，逾期不再接待</w:t>
      </w:r>
      <w:r>
        <w:rPr>
          <w:rFonts w:hint="eastAsia" w:ascii="仿宋_GB2312" w:eastAsia="仿宋_GB2312"/>
          <w:color w:val="auto"/>
          <w:sz w:val="28"/>
          <w:szCs w:val="28"/>
          <w:highlight w:val="none"/>
          <w:lang w:val="zh-CN" w:eastAsia="zh-CN"/>
        </w:rPr>
        <w:t>。</w:t>
      </w:r>
    </w:p>
    <w:p>
      <w:pPr>
        <w:pStyle w:val="22"/>
        <w:rPr>
          <w:rFonts w:hint="eastAsia"/>
          <w:color w:val="auto"/>
          <w:highlight w:val="none"/>
          <w:lang w:val="zh-CN" w:eastAsia="zh-CN"/>
        </w:rPr>
      </w:pPr>
      <w:r>
        <w:rPr>
          <w:rFonts w:hint="eastAsia" w:ascii="方正仿宋_GB2312" w:hAnsi="方正仿宋_GB2312" w:eastAsia="方正仿宋_GB2312" w:cs="方正仿宋_GB2312"/>
          <w:color w:val="auto"/>
          <w:sz w:val="28"/>
          <w:szCs w:val="28"/>
          <w:highlight w:val="none"/>
          <w:lang w:val="en-US" w:eastAsia="zh-CN"/>
        </w:rPr>
        <w:t>防疫要求：基于疫情防控形势，授权委托人须通过“广州净水公司”微信公众号（提前）预约，填写访客预约信息（包括：1.近7天内行程有异地中高风险地区及所在的地级市（、盟、州、直辖市的区）旅居史的来（返）穗人员拒绝来访；2.近7天行程内有异地本土疫情报告的地级市（、盟、州、直辖市的区）旅居史的来（返）穗人员拒绝来访3.近7天行程内有省外来（返）穗人员应持有抵穗后来访前三天的两次核酸检测证明，即“三天两检”（每次至少间隔24小时）4.如确需工作需要来访，应持有抵穗后来访前24小时内的核酸检测证明）。待被访部室审核员审批通过后，凭访客手机生成的“通行访客码”通行。于门岗处测温并扫码填写调查问卷，手机显示问卷“提交成功”后方可进入厂区。</w:t>
      </w:r>
    </w:p>
    <w:p>
      <w:pPr>
        <w:snapToGrid w:val="0"/>
        <w:spacing w:line="600" w:lineRule="exac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踏勘现场联系人：汤工</w:t>
      </w:r>
    </w:p>
    <w:p>
      <w:pPr>
        <w:snapToGrid w:val="0"/>
        <w:spacing w:line="600" w:lineRule="exac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踏勘现场联系人联系方式：13535340481</w:t>
      </w:r>
    </w:p>
    <w:p>
      <w:pPr>
        <w:adjustRightInd w:val="0"/>
        <w:snapToGrid w:val="0"/>
        <w:spacing w:line="600" w:lineRule="exact"/>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踏勘时间：</w:t>
      </w:r>
      <w:r>
        <w:rPr>
          <w:rFonts w:hint="eastAsia" w:ascii="仿宋_GB2312" w:eastAsia="仿宋_GB2312"/>
          <w:color w:val="auto"/>
          <w:sz w:val="28"/>
          <w:szCs w:val="28"/>
          <w:highlight w:val="none"/>
          <w:lang w:val="en-US" w:eastAsia="zh-CN"/>
        </w:rPr>
        <w:t>2022年11月8日9时00分至9时30分</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踏勘集中地点：广州市荔湾区桥中南路7号大坦沙污水处理厂</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 w:hAnsi="仿宋" w:eastAsia="仿宋" w:cs="仿宋"/>
          <w:color w:val="auto"/>
          <w:sz w:val="28"/>
          <w:szCs w:val="28"/>
          <w:highlight w:val="none"/>
          <w:u w:val="single"/>
        </w:rPr>
        <w:t>2022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lang w:val="en-US" w:eastAsia="zh-CN"/>
        </w:rPr>
        <w:t>9</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u w:val="single"/>
        </w:rPr>
        <w:t>10</w:t>
      </w:r>
      <w:r>
        <w:rPr>
          <w:rFonts w:hint="eastAsia" w:ascii="仿宋" w:hAnsi="仿宋" w:eastAsia="仿宋" w:cs="仿宋"/>
          <w:color w:val="auto"/>
          <w:sz w:val="28"/>
          <w:szCs w:val="28"/>
          <w:highlight w:val="none"/>
        </w:rPr>
        <w:t>时</w:t>
      </w:r>
      <w:r>
        <w:rPr>
          <w:rFonts w:hint="eastAsia" w:ascii="仿宋" w:hAnsi="仿宋" w:eastAsia="仿宋" w:cs="仿宋"/>
          <w:color w:val="auto"/>
          <w:sz w:val="28"/>
          <w:szCs w:val="28"/>
          <w:highlight w:val="none"/>
          <w:u w:val="single"/>
        </w:rPr>
        <w:t>00</w:t>
      </w:r>
      <w:r>
        <w:rPr>
          <w:rFonts w:hint="eastAsia" w:ascii="仿宋" w:hAnsi="仿宋" w:eastAsia="仿宋" w:cs="仿宋"/>
          <w:color w:val="auto"/>
          <w:sz w:val="28"/>
          <w:szCs w:val="28"/>
          <w:highlight w:val="none"/>
        </w:rPr>
        <w:t>分前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2"/>
        <w:ind w:firstLine="560" w:firstLineChars="200"/>
        <w:rPr>
          <w:rFonts w:hint="default" w:eastAsia="仿宋_GB2312"/>
          <w:color w:val="auto"/>
          <w:highlight w:val="none"/>
          <w:lang w:val="en-US" w:eastAsia="zh-CN"/>
        </w:rPr>
      </w:pPr>
      <w:r>
        <w:rPr>
          <w:rFonts w:hint="eastAsia" w:ascii="仿宋_GB2312" w:eastAsia="仿宋_GB2312"/>
          <w:color w:val="auto"/>
          <w:sz w:val="28"/>
          <w:szCs w:val="28"/>
          <w:highlight w:val="none"/>
          <w:lang w:val="en-US" w:eastAsia="zh-CN"/>
        </w:rPr>
        <w:t>防疫要求：基于目前疫情防控形势，我公司仅接受快递或自行送达形式递交响应文件，响应文件须于递交截止时间前送达，并放置于公司正门保安处。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rPr>
              <w:t>日</w:t>
            </w:r>
          </w:p>
        </w:tc>
      </w:tr>
    </w:tbl>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p>
    <w:p>
      <w:pPr>
        <w:rPr>
          <w:rFonts w:hint="eastAsia" w:asciiTheme="minorEastAsia" w:hAnsiTheme="minorEastAsia"/>
          <w:color w:val="auto"/>
          <w:sz w:val="24"/>
          <w:szCs w:val="24"/>
          <w:highlight w:val="none"/>
        </w:rPr>
      </w:pPr>
      <w:r>
        <w:rPr>
          <w:rFonts w:hint="eastAsia" w:asciiTheme="minorEastAsia" w:hAnsiTheme="minorEastAsia"/>
          <w:color w:val="auto"/>
          <w:sz w:val="24"/>
          <w:szCs w:val="24"/>
          <w:highlight w:val="none"/>
        </w:rPr>
        <w:br w:type="page"/>
      </w: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13" w:name="_Toc10891"/>
    </w:p>
    <w:p>
      <w:pPr>
        <w:pStyle w:val="4"/>
        <w:rPr>
          <w:rFonts w:hint="eastAsia"/>
          <w:color w:val="auto"/>
          <w:highlight w:val="none"/>
        </w:rPr>
      </w:pPr>
      <w:bookmarkStart w:id="14" w:name="_Toc2324"/>
      <w:bookmarkStart w:id="15" w:name="_Toc16557"/>
      <w:bookmarkStart w:id="16" w:name="_Toc19295"/>
      <w:bookmarkStart w:id="17" w:name="_Toc2331"/>
      <w:bookmarkStart w:id="18" w:name="_Toc23749"/>
      <w:bookmarkStart w:id="19" w:name="_Toc7340"/>
      <w:bookmarkStart w:id="20" w:name="_Toc16705"/>
      <w:bookmarkStart w:id="21" w:name="_Toc9448"/>
      <w:bookmarkStart w:id="22" w:name="_Toc25603"/>
      <w:bookmarkStart w:id="23" w:name="_Toc32588"/>
    </w:p>
    <w:p>
      <w:pPr>
        <w:pStyle w:val="4"/>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2348230</wp:posOffset>
                </wp:positionH>
                <wp:positionV relativeFrom="paragraph">
                  <wp:posOffset>511175</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9pt;margin-top:40.25pt;height:0pt;width:75.5pt;z-index:251673600;mso-width-relative:page;mso-height-relative:page;" filled="f" stroked="t" coordsize="21600,21600" o:gfxdata="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nPOXNg6cbv&#10;Pn//9enL7deftz++sck8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7pa81gAAAAkBAAAPAAAAAAAAAAEAIAAAACIAAABkcnMvZG93bnJldi54bWxQSwECFAAU&#10;AAAACACHTuJAl6dV2v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color w:val="auto"/>
          <w:highlight w:val="none"/>
        </w:rPr>
      </w:pPr>
    </w:p>
    <w:p>
      <w:pPr>
        <w:pStyle w:val="5"/>
        <w:rPr>
          <w:rFonts w:hint="eastAsia"/>
          <w:color w:val="auto"/>
          <w:highlight w:val="none"/>
        </w:rPr>
      </w:pPr>
      <w:bookmarkStart w:id="24" w:name="_Toc3416"/>
      <w:bookmarkStart w:id="25" w:name="_Toc2339"/>
      <w:r>
        <w:rPr>
          <w:rFonts w:hint="eastAsia"/>
          <w:color w:val="auto"/>
          <w:highlight w:val="none"/>
        </w:rPr>
        <w:t>供应商须知</w:t>
      </w:r>
      <w:bookmarkEnd w:id="24"/>
      <w:bookmarkEnd w:id="25"/>
    </w:p>
    <w:p>
      <w:pPr>
        <w:rPr>
          <w:rFonts w:hint="eastAsia"/>
          <w:color w:val="auto"/>
          <w:highlight w:val="none"/>
        </w:rPr>
      </w:pPr>
    </w:p>
    <w:p>
      <w:pPr>
        <w:pStyle w:val="22"/>
        <w:rPr>
          <w:color w:val="auto"/>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2"/>
        <w:rPr>
          <w:rFonts w:hint="eastAsia" w:asciiTheme="minorEastAsia" w:hAnsiTheme="minorEastAsia"/>
          <w:b/>
          <w:color w:val="auto"/>
          <w:sz w:val="32"/>
          <w:szCs w:val="32"/>
          <w:highlight w:val="none"/>
        </w:rPr>
      </w:pPr>
    </w:p>
    <w:p>
      <w:pPr>
        <w:pStyle w:val="22"/>
        <w:rPr>
          <w:rFonts w:hint="eastAsia" w:asciiTheme="minorEastAsia" w:hAnsiTheme="minorEastAsia"/>
          <w:b/>
          <w:color w:val="auto"/>
          <w:sz w:val="32"/>
          <w:szCs w:val="32"/>
          <w:highlight w:val="none"/>
        </w:rPr>
      </w:pPr>
    </w:p>
    <w:p>
      <w:pPr>
        <w:pStyle w:val="22"/>
        <w:rPr>
          <w:rFonts w:hint="eastAsia" w:asciiTheme="minorEastAsia" w:hAnsiTheme="minorEastAsia"/>
          <w:b/>
          <w:color w:val="auto"/>
          <w:sz w:val="32"/>
          <w:szCs w:val="32"/>
          <w:highlight w:val="none"/>
        </w:rPr>
      </w:pPr>
    </w:p>
    <w:p>
      <w:pPr>
        <w:pStyle w:val="22"/>
        <w:ind w:firstLine="0"/>
        <w:rPr>
          <w:rFonts w:hint="eastAsia"/>
          <w:color w:val="auto"/>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8"/>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8"/>
        <w:rPr>
          <w:color w:val="auto"/>
          <w:highlight w:val="none"/>
        </w:rPr>
      </w:pPr>
    </w:p>
    <w:p>
      <w:pPr>
        <w:pStyle w:val="38"/>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8"/>
        <w:rPr>
          <w:color w:val="auto"/>
          <w:highlight w:val="none"/>
        </w:rPr>
      </w:pPr>
    </w:p>
    <w:p>
      <w:pPr>
        <w:pStyle w:val="5"/>
        <w:rPr>
          <w:color w:val="auto"/>
          <w:highlight w:val="none"/>
        </w:rPr>
      </w:pPr>
      <w:bookmarkStart w:id="28" w:name="_Toc88209934"/>
      <w:bookmarkStart w:id="29" w:name="_Toc7040"/>
      <w:bookmarkStart w:id="30" w:name="_Toc87616371"/>
      <w:bookmarkStart w:id="31" w:name="_Toc7303"/>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ind w:firstLine="0"/>
        <w:rPr>
          <w:rFonts w:ascii="方正小标宋简体" w:eastAsia="方正小标宋简体"/>
          <w:color w:val="auto"/>
          <w:sz w:val="44"/>
          <w:szCs w:val="44"/>
          <w:highlight w:val="none"/>
        </w:rPr>
      </w:pPr>
    </w:p>
    <w:p>
      <w:pPr>
        <w:pStyle w:val="22"/>
        <w:ind w:firstLine="0"/>
        <w:rPr>
          <w:rFonts w:ascii="方正小标宋简体" w:eastAsia="方正小标宋简体"/>
          <w:color w:val="auto"/>
          <w:sz w:val="44"/>
          <w:szCs w:val="44"/>
          <w:highlight w:val="none"/>
        </w:rPr>
      </w:pPr>
    </w:p>
    <w:p>
      <w:pPr>
        <w:pStyle w:val="22"/>
        <w:ind w:firstLine="0"/>
        <w:rPr>
          <w:rFonts w:ascii="方正小标宋简体" w:eastAsia="方正小标宋简体"/>
          <w:color w:val="auto"/>
          <w:sz w:val="44"/>
          <w:szCs w:val="44"/>
          <w:highlight w:val="none"/>
        </w:rPr>
      </w:pPr>
    </w:p>
    <w:p>
      <w:pPr>
        <w:pStyle w:val="5"/>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3"/>
        <w:rPr>
          <w:rFonts w:ascii="仿宋_GB2312" w:eastAsia="仿宋_GB2312"/>
          <w:color w:val="auto"/>
          <w:sz w:val="28"/>
          <w:szCs w:val="28"/>
          <w:highlight w:val="none"/>
        </w:rPr>
      </w:pPr>
    </w:p>
    <w:p>
      <w:pPr>
        <w:pStyle w:val="4"/>
        <w:rPr>
          <w:color w:val="auto"/>
          <w:highlight w:val="none"/>
        </w:rPr>
      </w:pPr>
      <w:bookmarkStart w:id="34" w:name="_Toc10930"/>
      <w:bookmarkStart w:id="35" w:name="_Toc14552"/>
      <w:bookmarkStart w:id="36" w:name="_Toc3156"/>
      <w:bookmarkStart w:id="37" w:name="_Toc19759"/>
      <w:bookmarkStart w:id="38" w:name="_Toc7437"/>
      <w:bookmarkStart w:id="39" w:name="_Toc23581"/>
      <w:bookmarkStart w:id="40" w:name="_Toc19050"/>
      <w:bookmarkStart w:id="41" w:name="_Toc7118"/>
      <w:bookmarkStart w:id="42" w:name="_Toc20594"/>
      <w:bookmarkStart w:id="43" w:name="_Toc4952"/>
      <w:bookmarkStart w:id="44" w:name="_Toc14870"/>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8"/>
        <w:rPr>
          <w:color w:val="auto"/>
          <w:highlight w:val="none"/>
        </w:rPr>
      </w:pPr>
    </w:p>
    <w:p>
      <w:pPr>
        <w:pStyle w:val="4"/>
        <w:rPr>
          <w:color w:val="auto"/>
          <w:highlight w:val="none"/>
        </w:rPr>
      </w:pPr>
      <w:bookmarkStart w:id="45" w:name="_Toc29484"/>
      <w:bookmarkStart w:id="46" w:name="_Toc22212"/>
      <w:bookmarkStart w:id="47" w:name="_Toc30530"/>
      <w:bookmarkStart w:id="48" w:name="_Toc88209941"/>
      <w:bookmarkStart w:id="49" w:name="_Toc21079"/>
      <w:bookmarkStart w:id="50" w:name="_Toc21840"/>
      <w:bookmarkStart w:id="51" w:name="_Toc32607"/>
      <w:bookmarkStart w:id="52" w:name="_Toc87616378"/>
      <w:bookmarkStart w:id="53" w:name="_Toc7831"/>
      <w:bookmarkStart w:id="54" w:name="_Toc6308"/>
      <w:bookmarkStart w:id="55" w:name="_Toc29345"/>
      <w:bookmarkStart w:id="56" w:name="_Toc12177"/>
      <w:bookmarkStart w:id="57" w:name="_Toc13898"/>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ind w:firstLine="0"/>
        <w:rPr>
          <w:rFonts w:ascii="方正小标宋简体" w:eastAsia="方正小标宋简体"/>
          <w:color w:val="auto"/>
          <w:sz w:val="44"/>
          <w:szCs w:val="44"/>
          <w:highlight w:val="none"/>
        </w:rPr>
      </w:pPr>
    </w:p>
    <w:p>
      <w:pPr>
        <w:pStyle w:val="5"/>
        <w:rPr>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法定代表人授权委托</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有授权书</w:t>
            </w:r>
            <w:r>
              <w:rPr>
                <w:rFonts w:hint="eastAsia" w:ascii="仿宋_GB2312" w:eastAsia="仿宋_GB2312"/>
                <w:color w:val="auto"/>
                <w:sz w:val="24"/>
                <w:szCs w:val="24"/>
                <w:highlight w:val="none"/>
              </w:rPr>
              <w:t>，</w:t>
            </w:r>
            <w:r>
              <w:rPr>
                <w:rFonts w:ascii="仿宋_GB2312" w:eastAsia="仿宋_GB2312"/>
                <w:color w:val="auto"/>
                <w:sz w:val="24"/>
                <w:szCs w:val="24"/>
                <w:highlight w:val="none"/>
              </w:rPr>
              <w:t>授权书有法定代表人及其委托代理人签字并加盖单位</w:t>
            </w:r>
            <w:r>
              <w:rPr>
                <w:rFonts w:hint="eastAsia" w:ascii="仿宋_GB2312" w:eastAsia="仿宋_GB2312"/>
                <w:color w:val="auto"/>
                <w:sz w:val="24"/>
                <w:szCs w:val="24"/>
                <w:highlight w:val="none"/>
              </w:rPr>
              <w:t>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4"/>
        <w:rPr>
          <w:color w:val="auto"/>
          <w:highlight w:val="none"/>
        </w:rPr>
      </w:pPr>
      <w:bookmarkStart w:id="60" w:name="_Toc88209947"/>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Cti3r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bookmarkEnd w:id="60"/>
    <w:p>
      <w:pPr>
        <w:ind w:firstLine="560" w:firstLineChars="200"/>
        <w:rPr>
          <w:rFonts w:ascii="仿宋_GB2312" w:eastAsia="仿宋_GB2312"/>
          <w:color w:val="auto"/>
          <w:sz w:val="28"/>
          <w:szCs w:val="28"/>
          <w:highlight w:val="none"/>
        </w:rPr>
      </w:pPr>
    </w:p>
    <w:p>
      <w:pPr>
        <w:pStyle w:val="22"/>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9"/>
        <w:rPr>
          <w:rFonts w:ascii="仿宋_GB2312" w:eastAsia="仿宋_GB2312"/>
          <w:color w:val="auto"/>
          <w:sz w:val="28"/>
          <w:szCs w:val="28"/>
          <w:highlight w:val="none"/>
        </w:rPr>
      </w:pPr>
    </w:p>
    <w:p>
      <w:pPr>
        <w:pStyle w:val="29"/>
        <w:rPr>
          <w:rFonts w:ascii="仿宋_GB2312" w:eastAsia="仿宋_GB2312"/>
          <w:color w:val="auto"/>
          <w:sz w:val="28"/>
          <w:szCs w:val="28"/>
          <w:highlight w:val="none"/>
        </w:rPr>
      </w:pPr>
    </w:p>
    <w:p>
      <w:pPr>
        <w:pStyle w:val="29"/>
        <w:rPr>
          <w:rFonts w:ascii="仿宋_GB2312" w:eastAsia="仿宋_GB2312"/>
          <w:color w:val="auto"/>
          <w:sz w:val="28"/>
          <w:szCs w:val="28"/>
          <w:highlight w:val="none"/>
        </w:rPr>
      </w:pPr>
    </w:p>
    <w:p>
      <w:pPr>
        <w:pStyle w:val="29"/>
        <w:rPr>
          <w:rFonts w:ascii="仿宋_GB2312" w:eastAsia="仿宋_GB2312"/>
          <w:color w:val="auto"/>
          <w:sz w:val="28"/>
          <w:szCs w:val="28"/>
          <w:highlight w:val="none"/>
        </w:rPr>
      </w:pPr>
    </w:p>
    <w:p>
      <w:pPr>
        <w:pStyle w:val="29"/>
        <w:rPr>
          <w:rFonts w:ascii="仿宋_GB2312" w:eastAsia="仿宋_GB2312"/>
          <w:color w:val="auto"/>
          <w:sz w:val="28"/>
          <w:szCs w:val="28"/>
          <w:highlight w:val="none"/>
        </w:rPr>
      </w:pPr>
    </w:p>
    <w:p>
      <w:pPr>
        <w:pStyle w:val="29"/>
        <w:rPr>
          <w:rFonts w:ascii="仿宋_GB2312" w:eastAsia="仿宋_GB2312"/>
          <w:color w:val="auto"/>
          <w:sz w:val="28"/>
          <w:szCs w:val="28"/>
          <w:highlight w:val="none"/>
        </w:rPr>
      </w:pPr>
    </w:p>
    <w:p>
      <w:pPr>
        <w:pStyle w:val="29"/>
        <w:rPr>
          <w:rFonts w:ascii="仿宋_GB2312" w:eastAsia="仿宋_GB2312"/>
          <w:color w:val="auto"/>
          <w:sz w:val="28"/>
          <w:szCs w:val="28"/>
          <w:highlight w:val="none"/>
        </w:rPr>
      </w:pPr>
    </w:p>
    <w:p>
      <w:pPr>
        <w:pStyle w:val="29"/>
        <w:rPr>
          <w:rFonts w:ascii="仿宋_GB2312" w:eastAsia="仿宋_GB2312"/>
          <w:color w:val="auto"/>
          <w:sz w:val="28"/>
          <w:szCs w:val="28"/>
          <w:highlight w:val="none"/>
        </w:rPr>
      </w:pPr>
    </w:p>
    <w:p>
      <w:pPr>
        <w:numPr>
          <w:ilvl w:val="0"/>
          <w:numId w:val="4"/>
        </w:num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项目</w:t>
      </w:r>
      <w:r>
        <w:rPr>
          <w:rFonts w:hint="eastAsia" w:ascii="仿宋" w:hAnsi="仿宋" w:eastAsia="仿宋" w:cs="仿宋"/>
          <w:b/>
          <w:color w:val="auto"/>
          <w:sz w:val="28"/>
          <w:szCs w:val="28"/>
          <w:highlight w:val="none"/>
        </w:rPr>
        <w:t>实施方案</w:t>
      </w:r>
    </w:p>
    <w:p>
      <w:pPr>
        <w:numPr>
          <w:ilvl w:val="0"/>
          <w:numId w:val="0"/>
        </w:numPr>
        <w:bidi w:val="0"/>
        <w:ind w:firstLine="562"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 w:hAnsi="仿宋" w:eastAsia="仿宋" w:cs="仿宋"/>
          <w:b/>
          <w:bCs/>
          <w:color w:val="auto"/>
          <w:sz w:val="28"/>
          <w:szCs w:val="28"/>
          <w:highlight w:val="none"/>
          <w:u w:val="none"/>
          <w:lang w:val="en-US" w:eastAsia="zh-CN"/>
        </w:rPr>
        <w:t>项目一</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u w:val="none"/>
          <w:lang w:val="en-US" w:eastAsia="zh-CN"/>
        </w:rPr>
        <w:t>大坦沙分公司三期离心脱水机房分离液管道维修项目</w:t>
      </w:r>
    </w:p>
    <w:p>
      <w:pPr>
        <w:pStyle w:val="50"/>
        <w:rPr>
          <w:rFonts w:hint="eastAsia"/>
          <w:color w:val="auto"/>
          <w:highlight w:val="none"/>
          <w:lang w:val="en-US" w:eastAsia="zh-CN"/>
        </w:rPr>
      </w:pPr>
      <w:r>
        <w:rPr>
          <w:color w:val="auto"/>
          <w:highlight w:val="none"/>
        </w:rPr>
        <w:drawing>
          <wp:inline distT="0" distB="0" distL="114300" distR="114300">
            <wp:extent cx="2697480" cy="3733800"/>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2697480" cy="3733800"/>
                    </a:xfrm>
                    <a:prstGeom prst="rect">
                      <a:avLst/>
                    </a:prstGeom>
                    <a:noFill/>
                    <a:ln>
                      <a:noFill/>
                    </a:ln>
                  </pic:spPr>
                </pic:pic>
              </a:graphicData>
            </a:graphic>
          </wp:inline>
        </w:drawing>
      </w:r>
      <w:r>
        <w:rPr>
          <w:color w:val="auto"/>
          <w:highlight w:val="none"/>
        </w:rPr>
        <w:drawing>
          <wp:inline distT="0" distB="0" distL="114300" distR="114300">
            <wp:extent cx="2708275" cy="3747770"/>
            <wp:effectExtent l="0" t="0" r="1587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2708275" cy="3747770"/>
                    </a:xfrm>
                    <a:prstGeom prst="rect">
                      <a:avLst/>
                    </a:prstGeom>
                    <a:noFill/>
                    <a:ln>
                      <a:noFill/>
                    </a:ln>
                  </pic:spPr>
                </pic:pic>
              </a:graphicData>
            </a:graphic>
          </wp:inline>
        </w:drawing>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①预计6m*6m*3m开挖工程量，实际视情况而定。</w:t>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②从上图泥地侧开挖并拆除路基石，如能判断管道漏点并且作业面许可情况下则尝试不破拆水泥路面进行管道修复，若作业面情况不满足施工条件则对该区域完全开挖，并且全程使用人工开挖。</w:t>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③对该部分管道进行除锈防腐后视情况使用补焊或哈夫节对漏点进行修复工作，哈夫节选用球墨铸铁材质，规格适用于DN300管。</w:t>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④覆土前将离心脱水机调至日常使用状态，观察修复效果，确认破损点没出现渗漏情况方可覆土。</w:t>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⑤覆土过程中需要注意管的低部泥土先压实处理，并且管面应先覆盖砂土不能是石块。</w:t>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⑥开挖的作业面需原样恢复，清理多余石块以及30㎡台湾草复绿。</w:t>
      </w:r>
    </w:p>
    <w:p>
      <w:pPr>
        <w:numPr>
          <w:ilvl w:val="0"/>
          <w:numId w:val="0"/>
        </w:numPr>
        <w:bidi w:val="0"/>
        <w:ind w:firstLine="562" w:firstLineChars="200"/>
        <w:jc w:val="left"/>
        <w:rPr>
          <w:rFonts w:hint="eastAsia" w:ascii="仿宋" w:hAnsi="仿宋" w:eastAsia="仿宋" w:cs="仿宋"/>
          <w:b/>
          <w:bCs/>
          <w:color w:val="auto"/>
          <w:sz w:val="28"/>
          <w:szCs w:val="28"/>
          <w:highlight w:val="none"/>
          <w:u w:val="none"/>
          <w:lang w:val="en-US" w:eastAsia="zh-CN"/>
        </w:rPr>
      </w:pPr>
    </w:p>
    <w:p>
      <w:pPr>
        <w:pStyle w:val="3"/>
        <w:numPr>
          <w:ilvl w:val="0"/>
          <w:numId w:val="0"/>
        </w:numPr>
        <w:spacing w:line="360" w:lineRule="auto"/>
        <w:ind w:firstLine="562" w:firstLineChars="200"/>
        <w:rPr>
          <w:rFonts w:hint="eastAsia" w:ascii="仿宋" w:hAnsi="仿宋" w:eastAsia="仿宋" w:cs="仿宋"/>
          <w:b/>
          <w:bCs/>
          <w:color w:val="auto"/>
          <w:sz w:val="28"/>
          <w:szCs w:val="28"/>
          <w:highlight w:val="none"/>
          <w:u w:val="none"/>
          <w:lang w:val="en-US" w:eastAsia="zh-CN"/>
        </w:rPr>
      </w:pPr>
      <w:r>
        <w:rPr>
          <w:rFonts w:hint="eastAsia" w:ascii="仿宋" w:hAnsi="仿宋" w:eastAsia="仿宋" w:cs="仿宋"/>
          <w:b/>
          <w:bCs/>
          <w:color w:val="auto"/>
          <w:sz w:val="28"/>
          <w:szCs w:val="28"/>
          <w:highlight w:val="none"/>
          <w:u w:val="none"/>
          <w:lang w:val="en-US" w:eastAsia="zh-CN"/>
        </w:rPr>
        <w:t>项目二</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kern w:val="2"/>
          <w:sz w:val="28"/>
          <w:szCs w:val="28"/>
          <w:highlight w:val="none"/>
          <w:u w:val="none"/>
          <w:lang w:val="en-US" w:eastAsia="zh-CN" w:bidi="ar-SA"/>
        </w:rPr>
        <w:t>大坦沙分公司一二三期厂区排泥管道优化项目</w:t>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参考附图，将（一二期浓缩池泥泵出泥管）与（三期至一二期浓缩池排泥管）连接，管道连接后通过调节阀门状态并使用现有泥泵即可实现一二期污泥输送到三期。</w:t>
      </w:r>
    </w:p>
    <w:p>
      <w:pPr>
        <w:bidi w:val="0"/>
        <w:ind w:firstLine="560" w:firstLineChars="200"/>
        <w:jc w:val="left"/>
        <w:rPr>
          <w:rFonts w:hint="default"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①于下图该区域新造阀门井，阀门井尺寸初步拟定为：1.2m*1.2m*0.5m（高度），根据实际开挖情况阀井尽可能与地面持平或调整尺寸高度，阀门井4边涂黄黑警示漆。</w:t>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②针对该阀门井新造不锈钢盖板，盖板使用40*40*4不锈钢角钢做框架，盖板喷涂“禁止踩踏”标语。</w:t>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③新接DN200焊接碳钢管，管道外壁及内壁做防腐处理，防腐根据管道内介质规则所定颜色，配备不锈钢伸缩节以及选用DN200球阀。</w:t>
      </w:r>
    </w:p>
    <w:p>
      <w:pPr>
        <w:bidi w:val="0"/>
        <w:ind w:firstLine="560" w:firstLineChars="200"/>
        <w:jc w:val="left"/>
        <w:rPr>
          <w:rFonts w:hint="default"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④开挖后恢复，清理碎石及台湾草进行复绿。</w:t>
      </w:r>
    </w:p>
    <w:p>
      <w:pPr>
        <w:jc w:val="both"/>
        <w:rPr>
          <w:color w:val="auto"/>
          <w:highlight w:val="none"/>
        </w:rPr>
      </w:pPr>
      <w:r>
        <w:rPr>
          <w:color w:val="auto"/>
          <w:highlight w:val="none"/>
        </w:rPr>
        <w:drawing>
          <wp:inline distT="0" distB="0" distL="114300" distR="114300">
            <wp:extent cx="5267960" cy="3432175"/>
            <wp:effectExtent l="0" t="0" r="8890"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5267960" cy="3432175"/>
                    </a:xfrm>
                    <a:prstGeom prst="rect">
                      <a:avLst/>
                    </a:prstGeom>
                    <a:noFill/>
                    <a:ln>
                      <a:noFill/>
                    </a:ln>
                  </pic:spPr>
                </pic:pic>
              </a:graphicData>
            </a:graphic>
          </wp:inline>
        </w:drawing>
      </w:r>
    </w:p>
    <w:p>
      <w:pPr>
        <w:jc w:val="both"/>
        <w:rPr>
          <w:rFonts w:hint="eastAsia"/>
          <w:color w:val="auto"/>
          <w:sz w:val="32"/>
          <w:szCs w:val="40"/>
          <w:highlight w:val="none"/>
          <w:lang w:val="en-US" w:eastAsia="zh-CN"/>
        </w:rPr>
      </w:pPr>
      <w:r>
        <w:rPr>
          <w:color w:val="auto"/>
          <w:highlight w:val="none"/>
        </w:rPr>
        <w:drawing>
          <wp:inline distT="0" distB="0" distL="114300" distR="114300">
            <wp:extent cx="5334000" cy="4389120"/>
            <wp:effectExtent l="0" t="0" r="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5334000" cy="4389120"/>
                    </a:xfrm>
                    <a:prstGeom prst="rect">
                      <a:avLst/>
                    </a:prstGeom>
                    <a:noFill/>
                    <a:ln>
                      <a:noFill/>
                    </a:ln>
                  </pic:spPr>
                </pic:pic>
              </a:graphicData>
            </a:graphic>
          </wp:inline>
        </w:drawing>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⑤阀井1#安装不锈钢潜水泵，电路套管并埋地从干化储泥池车棚处接出，并翻开草坪砖，埋DN50排水管。</w:t>
      </w:r>
    </w:p>
    <w:p>
      <w:pPr>
        <w:bidi w:val="0"/>
        <w:ind w:firstLine="560" w:firstLineChars="200"/>
        <w:jc w:val="left"/>
        <w:rPr>
          <w:rFonts w:hint="eastAsia"/>
          <w:color w:val="auto"/>
          <w:sz w:val="32"/>
          <w:szCs w:val="40"/>
          <w:highlight w:val="none"/>
          <w:lang w:val="en-US" w:eastAsia="zh-CN"/>
        </w:rPr>
      </w:pPr>
      <w:r>
        <w:rPr>
          <w:rFonts w:hint="eastAsia" w:ascii="仿宋" w:hAnsi="仿宋" w:eastAsia="仿宋" w:cs="仿宋"/>
          <w:color w:val="auto"/>
          <w:kern w:val="2"/>
          <w:sz w:val="28"/>
          <w:szCs w:val="28"/>
          <w:highlight w:val="none"/>
          <w:lang w:val="en-US" w:eastAsia="zh-CN" w:bidi="ar-SA"/>
        </w:rPr>
        <w:t>⑥针对阀井1#内阀门及管道进行防腐维护工作。</w:t>
      </w:r>
    </w:p>
    <w:p>
      <w:pPr>
        <w:rPr>
          <w:color w:val="auto"/>
          <w:highlight w:val="none"/>
        </w:rPr>
      </w:pPr>
      <w:r>
        <w:rPr>
          <w:color w:val="auto"/>
          <w:highlight w:val="none"/>
        </w:rPr>
        <w:drawing>
          <wp:inline distT="0" distB="0" distL="114300" distR="114300">
            <wp:extent cx="5273040" cy="2675255"/>
            <wp:effectExtent l="0" t="0" r="3810"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a:stretch>
                      <a:fillRect/>
                    </a:stretch>
                  </pic:blipFill>
                  <pic:spPr>
                    <a:xfrm>
                      <a:off x="0" y="0"/>
                      <a:ext cx="5273040" cy="2675255"/>
                    </a:xfrm>
                    <a:prstGeom prst="rect">
                      <a:avLst/>
                    </a:prstGeom>
                    <a:noFill/>
                    <a:ln>
                      <a:noFill/>
                    </a:ln>
                  </pic:spPr>
                </pic:pic>
              </a:graphicData>
            </a:graphic>
          </wp:inline>
        </w:drawing>
      </w:r>
    </w:p>
    <w:p>
      <w:pPr>
        <w:jc w:val="center"/>
        <w:rPr>
          <w:rFonts w:hint="default" w:eastAsiaTheme="minorEastAsia"/>
          <w:color w:val="auto"/>
          <w:highlight w:val="none"/>
          <w:lang w:val="en-US" w:eastAsia="zh-CN"/>
        </w:rPr>
      </w:pPr>
      <w:r>
        <w:rPr>
          <w:rFonts w:hint="eastAsia"/>
          <w:color w:val="auto"/>
          <w:highlight w:val="none"/>
          <w:lang w:val="en-US" w:eastAsia="zh-CN"/>
        </w:rPr>
        <w:t>(阀井1#内安装不锈钢潜水泵用于抽井内积水)</w:t>
      </w:r>
    </w:p>
    <w:p>
      <w:pPr>
        <w:numPr>
          <w:ilvl w:val="0"/>
          <w:numId w:val="0"/>
        </w:numPr>
        <w:ind w:leftChars="0"/>
        <w:jc w:val="left"/>
        <w:rPr>
          <w:color w:val="auto"/>
          <w:highlight w:val="none"/>
        </w:rPr>
      </w:pPr>
      <w:r>
        <w:rPr>
          <w:color w:val="auto"/>
          <w:highlight w:val="none"/>
        </w:rPr>
        <w:drawing>
          <wp:inline distT="0" distB="0" distL="114300" distR="114300">
            <wp:extent cx="5213350" cy="4018280"/>
            <wp:effectExtent l="0" t="0" r="6350" b="127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4"/>
                    <a:stretch>
                      <a:fillRect/>
                    </a:stretch>
                  </pic:blipFill>
                  <pic:spPr>
                    <a:xfrm>
                      <a:off x="0" y="0"/>
                      <a:ext cx="5213350" cy="4018280"/>
                    </a:xfrm>
                    <a:prstGeom prst="rect">
                      <a:avLst/>
                    </a:prstGeom>
                    <a:noFill/>
                    <a:ln>
                      <a:noFill/>
                    </a:ln>
                  </pic:spPr>
                </pic:pic>
              </a:graphicData>
            </a:graphic>
          </wp:inline>
        </w:drawing>
      </w:r>
    </w:p>
    <w:p>
      <w:pPr>
        <w:numPr>
          <w:ilvl w:val="0"/>
          <w:numId w:val="0"/>
        </w:numPr>
        <w:ind w:leftChars="0"/>
        <w:jc w:val="center"/>
        <w:rPr>
          <w:rFonts w:hint="eastAsia" w:eastAsiaTheme="minorEastAsia"/>
          <w:color w:val="auto"/>
          <w:highlight w:val="none"/>
          <w:lang w:eastAsia="zh-CN"/>
        </w:rPr>
      </w:pPr>
      <w:r>
        <w:rPr>
          <w:rFonts w:hint="eastAsia"/>
          <w:color w:val="auto"/>
          <w:highlight w:val="none"/>
          <w:lang w:eastAsia="zh-CN"/>
        </w:rPr>
        <w:t>（</w:t>
      </w:r>
      <w:r>
        <w:rPr>
          <w:rFonts w:hint="eastAsia"/>
          <w:color w:val="auto"/>
          <w:highlight w:val="none"/>
          <w:lang w:val="en-US" w:eastAsia="zh-CN"/>
        </w:rPr>
        <w:t>不锈钢潜水泵电路布置</w:t>
      </w:r>
      <w:r>
        <w:rPr>
          <w:rFonts w:hint="eastAsia"/>
          <w:color w:val="auto"/>
          <w:highlight w:val="none"/>
          <w:lang w:eastAsia="zh-CN"/>
        </w:rPr>
        <w:t>）</w:t>
      </w:r>
    </w:p>
    <w:p>
      <w:pPr>
        <w:numPr>
          <w:ilvl w:val="0"/>
          <w:numId w:val="0"/>
        </w:numPr>
        <w:ind w:leftChars="0"/>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4184650" cy="3514090"/>
            <wp:effectExtent l="0" t="0" r="6350" b="10160"/>
            <wp:docPr id="23" name="图片 23" descr="1646797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46797328(1)"/>
                    <pic:cNvPicPr>
                      <a:picLocks noChangeAspect="1"/>
                    </pic:cNvPicPr>
                  </pic:nvPicPr>
                  <pic:blipFill>
                    <a:blip r:embed="rId15"/>
                    <a:stretch>
                      <a:fillRect/>
                    </a:stretch>
                  </pic:blipFill>
                  <pic:spPr>
                    <a:xfrm>
                      <a:off x="0" y="0"/>
                      <a:ext cx="4184650" cy="3514090"/>
                    </a:xfrm>
                    <a:prstGeom prst="rect">
                      <a:avLst/>
                    </a:prstGeom>
                  </pic:spPr>
                </pic:pic>
              </a:graphicData>
            </a:graphic>
          </wp:inline>
        </w:drawing>
      </w:r>
    </w:p>
    <w:p>
      <w:pPr>
        <w:numPr>
          <w:ilvl w:val="0"/>
          <w:numId w:val="0"/>
        </w:numPr>
        <w:autoSpaceDE w:val="0"/>
        <w:autoSpaceDN w:val="0"/>
        <w:ind w:firstLine="3570" w:firstLineChars="1700"/>
        <w:rPr>
          <w:rFonts w:hint="eastAsia" w:ascii="仿宋" w:hAnsi="仿宋" w:eastAsia="仿宋" w:cs="仿宋"/>
          <w:b w:val="0"/>
          <w:bCs w:val="0"/>
          <w:color w:val="auto"/>
          <w:sz w:val="28"/>
          <w:szCs w:val="28"/>
          <w:highlight w:val="none"/>
          <w:lang w:val="en-US" w:eastAsia="zh-CN" w:bidi="ar-SA"/>
        </w:rPr>
      </w:pPr>
      <w:r>
        <w:rPr>
          <w:rFonts w:hint="eastAsia"/>
          <w:color w:val="auto"/>
          <w:highlight w:val="none"/>
          <w:lang w:val="en-US" w:eastAsia="zh-CN"/>
        </w:rPr>
        <w:t>（阀井1#内管道、阀体防腐）</w:t>
      </w:r>
    </w:p>
    <w:p>
      <w:pPr>
        <w:keepNext w:val="0"/>
        <w:keepLines w:val="0"/>
        <w:widowControl/>
        <w:suppressLineNumbers w:val="0"/>
        <w:wordWrap/>
        <w:spacing w:line="240" w:lineRule="auto"/>
        <w:jc w:val="center"/>
        <w:textAlignment w:val="center"/>
        <w:rPr>
          <w:rFonts w:hint="eastAsia" w:ascii="仿宋" w:hAnsi="仿宋" w:eastAsia="仿宋" w:cs="仿宋"/>
          <w:b/>
          <w:bCs/>
          <w:color w:val="auto"/>
          <w:sz w:val="28"/>
          <w:szCs w:val="28"/>
          <w:highlight w:val="none"/>
          <w:u w:val="none"/>
          <w:lang w:val="en-US" w:eastAsia="zh-CN"/>
        </w:rPr>
      </w:pPr>
    </w:p>
    <w:p>
      <w:pPr>
        <w:keepNext w:val="0"/>
        <w:keepLines w:val="0"/>
        <w:widowControl/>
        <w:suppressLineNumbers w:val="0"/>
        <w:wordWrap/>
        <w:spacing w:line="240" w:lineRule="auto"/>
        <w:ind w:firstLine="562" w:firstLineChars="200"/>
        <w:jc w:val="left"/>
        <w:textAlignment w:val="center"/>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u w:val="none"/>
          <w:lang w:val="en-US" w:eastAsia="zh-CN"/>
        </w:rPr>
        <w:t>项目三：</w:t>
      </w:r>
      <w:r>
        <w:rPr>
          <w:rFonts w:hint="eastAsia" w:ascii="仿宋" w:hAnsi="仿宋" w:eastAsia="仿宋" w:cs="仿宋"/>
          <w:b/>
          <w:bCs/>
          <w:color w:val="auto"/>
          <w:kern w:val="2"/>
          <w:sz w:val="28"/>
          <w:szCs w:val="28"/>
          <w:highlight w:val="none"/>
          <w:u w:val="none"/>
          <w:lang w:val="en-US" w:eastAsia="zh-CN" w:bidi="ar-SA"/>
        </w:rPr>
        <w:t>大坦沙分公司一期平流式沉砂池盖板维修项目</w:t>
      </w:r>
    </w:p>
    <w:p>
      <w:pPr>
        <w:bidi w:val="0"/>
        <w:ind w:firstLine="560" w:firstLineChars="200"/>
        <w:jc w:val="left"/>
        <w:rPr>
          <w:rFonts w:hint="default"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①实施该项目平流式沉砂池需暂停运行可采用分段式安装更换，实施过程中工作人员必须佩戴五点式安全带。</w:t>
      </w:r>
    </w:p>
    <w:p>
      <w:pPr>
        <w:bidi w:val="0"/>
        <w:ind w:firstLine="560" w:firstLineChars="200"/>
        <w:jc w:val="left"/>
        <w:rPr>
          <w:rFonts w:hint="default"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②逐一暂停南北刮泥机搭建临时站立平台，对没有被刮砂机遮挡部分盖板以及密封条进行拆除。</w:t>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③盖板拆除完成后，拆除原有支架，焊制铺设琉璃瓦支架，左高右低带有一定角度，左右对称。</w:t>
      </w:r>
    </w:p>
    <w:p>
      <w:pPr>
        <w:bidi w:val="0"/>
        <w:ind w:firstLine="560" w:firstLineChars="200"/>
        <w:jc w:val="left"/>
        <w:rPr>
          <w:rFonts w:hint="default"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④重新安装树脂瓦及安装密封条预留观察活动盖板孔。</w:t>
      </w:r>
    </w:p>
    <w:p>
      <w:pPr>
        <w:bidi w:val="0"/>
        <w:ind w:firstLine="560" w:firstLineChars="200"/>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⑤南北平流式沉砂池增加盖板支架，按尺寸定制2块分段式的2900mm*900可活动盖板。</w:t>
      </w:r>
    </w:p>
    <w:p>
      <w:pPr>
        <w:pStyle w:val="2"/>
        <w:rPr>
          <w:rFonts w:hint="eastAsia"/>
          <w:color w:val="auto"/>
          <w:highlight w:val="none"/>
          <w:lang w:val="en-US" w:eastAsia="zh-CN"/>
        </w:rPr>
      </w:pPr>
    </w:p>
    <w:p>
      <w:pPr>
        <w:numPr>
          <w:ilvl w:val="0"/>
          <w:numId w:val="4"/>
        </w:numPr>
        <w:spacing w:line="360" w:lineRule="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项目总体效果及验收要求</w:t>
      </w:r>
    </w:p>
    <w:p>
      <w:pPr>
        <w:keepNext w:val="0"/>
        <w:keepLines w:val="0"/>
        <w:pageBreakBefore w:val="0"/>
        <w:kinsoku/>
        <w:wordWrap/>
        <w:overflowPunct/>
        <w:topLinePunct w:val="0"/>
        <w:autoSpaceDE w:val="0"/>
        <w:autoSpaceDN w:val="0"/>
        <w:bidi w:val="0"/>
        <w:spacing w:line="520" w:lineRule="exact"/>
        <w:ind w:firstLine="560" w:firstLineChars="200"/>
        <w:textAlignment w:val="auto"/>
        <w:rPr>
          <w:rFonts w:hint="eastAsia" w:ascii="仿宋" w:hAnsi="仿宋" w:eastAsia="仿宋" w:cs="仿宋_GB2312"/>
          <w:bCs/>
          <w:color w:val="auto"/>
          <w:sz w:val="28"/>
          <w:szCs w:val="28"/>
          <w:highlight w:val="none"/>
          <w:lang w:val="en-US" w:eastAsia="zh-CN"/>
        </w:rPr>
      </w:pPr>
      <w:r>
        <w:rPr>
          <w:rFonts w:hint="eastAsia" w:ascii="仿宋" w:hAnsi="仿宋" w:eastAsia="仿宋" w:cs="仿宋_GB2312"/>
          <w:color w:val="auto"/>
          <w:sz w:val="28"/>
          <w:szCs w:val="28"/>
          <w:highlight w:val="none"/>
          <w:lang w:val="en-US" w:eastAsia="zh-CN"/>
        </w:rPr>
        <w:t>项目一：</w:t>
      </w:r>
      <w:r>
        <w:rPr>
          <w:rFonts w:hint="eastAsia" w:ascii="仿宋" w:hAnsi="仿宋" w:eastAsia="仿宋" w:cs="仿宋_GB2312"/>
          <w:bCs/>
          <w:color w:val="auto"/>
          <w:sz w:val="28"/>
          <w:szCs w:val="28"/>
          <w:highlight w:val="none"/>
          <w:lang w:val="en-US" w:eastAsia="zh-CN"/>
        </w:rPr>
        <w:t>施工完毕后进行管道试压确保无渗漏。</w:t>
      </w:r>
    </w:p>
    <w:p>
      <w:pPr>
        <w:numPr>
          <w:ilvl w:val="0"/>
          <w:numId w:val="0"/>
        </w:numPr>
        <w:ind w:firstLine="560" w:firstLineChars="200"/>
        <w:rPr>
          <w:rFonts w:hint="default" w:ascii="仿宋" w:hAnsi="仿宋" w:eastAsia="仿宋" w:cs="仿宋_GB2312"/>
          <w:bCs/>
          <w:color w:val="auto"/>
          <w:sz w:val="28"/>
          <w:szCs w:val="28"/>
          <w:highlight w:val="none"/>
          <w:lang w:val="en-US" w:eastAsia="zh-CN"/>
        </w:rPr>
      </w:pPr>
      <w:r>
        <w:rPr>
          <w:rFonts w:hint="eastAsia" w:ascii="仿宋" w:hAnsi="仿宋" w:eastAsia="仿宋" w:cs="仿宋_GB2312"/>
          <w:bCs/>
          <w:color w:val="auto"/>
          <w:sz w:val="28"/>
          <w:szCs w:val="28"/>
          <w:highlight w:val="none"/>
          <w:lang w:val="en-US" w:eastAsia="zh-CN"/>
        </w:rPr>
        <w:t>项目二：施工完毕后检查管材焊接情况，做好防腐处理，抽水泵正常运行。</w:t>
      </w:r>
    </w:p>
    <w:p>
      <w:pPr>
        <w:pStyle w:val="50"/>
        <w:rPr>
          <w:rFonts w:hint="eastAsia"/>
          <w:color w:val="auto"/>
          <w:highlight w:val="none"/>
        </w:rPr>
      </w:pPr>
      <w:r>
        <w:rPr>
          <w:rFonts w:hint="eastAsia"/>
          <w:color w:val="auto"/>
          <w:highlight w:val="none"/>
          <w:lang w:val="en-US" w:eastAsia="zh-CN"/>
        </w:rPr>
        <w:t xml:space="preserve">    项目三：</w:t>
      </w:r>
      <w:r>
        <w:rPr>
          <w:rFonts w:hint="eastAsia" w:ascii="仿宋" w:hAnsi="仿宋" w:eastAsia="仿宋" w:cs="仿宋_GB2312"/>
          <w:bCs/>
          <w:color w:val="auto"/>
          <w:kern w:val="2"/>
          <w:sz w:val="28"/>
          <w:szCs w:val="28"/>
          <w:highlight w:val="none"/>
          <w:lang w:val="en-US" w:eastAsia="zh-CN" w:bidi="ar-SA"/>
        </w:rPr>
        <w:t>施工完毕后确保盖板牢固可靠，材质满足要求。</w:t>
      </w:r>
    </w:p>
    <w:p>
      <w:pPr>
        <w:pStyle w:val="12"/>
        <w:adjustRightInd w:val="0"/>
        <w:snapToGrid w:val="0"/>
        <w:spacing w:line="300" w:lineRule="auto"/>
        <w:rPr>
          <w:rFonts w:hint="eastAsia" w:ascii="仿宋" w:hAnsi="仿宋" w:eastAsia="仿宋" w:cs="仿宋"/>
          <w:b/>
          <w:color w:val="auto"/>
          <w:sz w:val="28"/>
          <w:szCs w:val="28"/>
          <w:highlight w:val="none"/>
          <w:lang w:val="zh-CN"/>
        </w:rPr>
      </w:pPr>
      <w:r>
        <w:rPr>
          <w:rFonts w:hint="eastAsia" w:ascii="仿宋" w:hAnsi="仿宋" w:eastAsia="仿宋" w:cs="仿宋"/>
          <w:b/>
          <w:color w:val="auto"/>
          <w:sz w:val="28"/>
          <w:szCs w:val="28"/>
          <w:highlight w:val="none"/>
          <w:lang w:val="en-US" w:eastAsia="zh-CN"/>
        </w:rPr>
        <w:t>三、</w:t>
      </w:r>
      <w:r>
        <w:rPr>
          <w:rFonts w:hint="eastAsia" w:ascii="仿宋" w:hAnsi="仿宋" w:eastAsia="仿宋" w:cs="仿宋_GB2312"/>
          <w:b/>
          <w:color w:val="auto"/>
          <w:sz w:val="28"/>
          <w:szCs w:val="28"/>
          <w:highlight w:val="none"/>
          <w:lang w:val="zh-CN"/>
        </w:rPr>
        <w:t>项目商务要求</w:t>
      </w:r>
    </w:p>
    <w:p>
      <w:pPr>
        <w:keepNext w:val="0"/>
        <w:keepLines w:val="0"/>
        <w:pageBreakBefore w:val="0"/>
        <w:kinsoku/>
        <w:wordWrap/>
        <w:overflowPunct/>
        <w:topLinePunct w:val="0"/>
        <w:autoSpaceDE w:val="0"/>
        <w:autoSpaceDN w:val="0"/>
        <w:bidi w:val="0"/>
        <w:spacing w:line="520" w:lineRule="exact"/>
        <w:ind w:left="560"/>
        <w:textAlignment w:val="auto"/>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1.工期：</w:t>
      </w:r>
      <w:r>
        <w:rPr>
          <w:rFonts w:hint="eastAsia" w:ascii="仿宋_GB2312" w:hAnsi="仿宋_GB2312" w:eastAsia="仿宋_GB2312" w:cs="仿宋_GB2312"/>
          <w:b w:val="0"/>
          <w:bCs/>
          <w:color w:val="auto"/>
          <w:sz w:val="28"/>
          <w:szCs w:val="28"/>
          <w:highlight w:val="none"/>
          <w:lang w:val="en-US" w:eastAsia="zh-CN"/>
        </w:rPr>
        <w:t>总工期40天</w:t>
      </w:r>
      <w:r>
        <w:rPr>
          <w:rFonts w:hint="eastAsia" w:ascii="仿宋" w:hAnsi="仿宋" w:eastAsia="仿宋" w:cs="仿宋"/>
          <w:color w:val="auto"/>
          <w:sz w:val="28"/>
          <w:szCs w:val="28"/>
          <w:highlight w:val="none"/>
          <w:lang w:val="en-US" w:eastAsia="zh-CN"/>
        </w:rPr>
        <w:t>；</w:t>
      </w:r>
      <w:r>
        <w:rPr>
          <w:rFonts w:hint="eastAsia" w:ascii="仿宋" w:hAnsi="仿宋" w:eastAsia="仿宋"/>
          <w:color w:val="auto"/>
          <w:sz w:val="28"/>
          <w:szCs w:val="28"/>
          <w:highlight w:val="none"/>
        </w:rPr>
        <w:t>。</w:t>
      </w:r>
      <w:r>
        <w:rPr>
          <w:rFonts w:hint="eastAsia" w:ascii="仿宋" w:hAnsi="仿宋" w:eastAsia="仿宋"/>
          <w:color w:val="auto"/>
          <w:sz w:val="28"/>
          <w:szCs w:val="28"/>
          <w:highlight w:val="none"/>
          <w:lang w:val="en-US" w:eastAsia="zh-CN"/>
        </w:rPr>
        <w:t>具体日期以甲方（业主）发出的通知为准。</w:t>
      </w:r>
    </w:p>
    <w:p>
      <w:pPr>
        <w:keepNext w:val="0"/>
        <w:keepLines w:val="0"/>
        <w:pageBreakBefore w:val="0"/>
        <w:kinsoku/>
        <w:wordWrap/>
        <w:overflowPunct/>
        <w:topLinePunct w:val="0"/>
        <w:autoSpaceDE w:val="0"/>
        <w:autoSpaceDN w:val="0"/>
        <w:bidi w:val="0"/>
        <w:spacing w:line="520" w:lineRule="exact"/>
        <w:ind w:left="560"/>
        <w:textAlignment w:val="auto"/>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2</w:t>
      </w:r>
      <w:r>
        <w:rPr>
          <w:rFonts w:hint="eastAsia" w:ascii="仿宋" w:hAnsi="仿宋" w:eastAsia="仿宋"/>
          <w:color w:val="auto"/>
          <w:sz w:val="28"/>
          <w:szCs w:val="28"/>
          <w:highlight w:val="none"/>
        </w:rPr>
        <w:t>.</w:t>
      </w:r>
      <w:r>
        <w:rPr>
          <w:rFonts w:hint="eastAsia" w:ascii="仿宋" w:hAnsi="仿宋" w:eastAsia="仿宋" w:cs="仿宋_GB2312"/>
          <w:color w:val="auto"/>
          <w:sz w:val="28"/>
          <w:szCs w:val="28"/>
          <w:highlight w:val="none"/>
        </w:rPr>
        <w:t>质保期：</w:t>
      </w:r>
      <w:r>
        <w:rPr>
          <w:rFonts w:hint="eastAsia" w:ascii="仿宋_GB2312" w:hAnsi="仿宋_GB2312" w:eastAsia="仿宋_GB2312" w:cs="仿宋_GB2312"/>
          <w:color w:val="auto"/>
          <w:sz w:val="28"/>
          <w:szCs w:val="28"/>
          <w:highlight w:val="none"/>
        </w:rPr>
        <w:t>竣工验收合格后一年</w:t>
      </w:r>
      <w:r>
        <w:rPr>
          <w:rFonts w:hint="eastAsia" w:ascii="仿宋" w:hAnsi="仿宋" w:eastAsia="仿宋" w:cs="仿宋_GB2312"/>
          <w:color w:val="auto"/>
          <w:sz w:val="28"/>
          <w:szCs w:val="28"/>
          <w:highlight w:val="none"/>
          <w:lang w:val="en-US" w:eastAsia="zh-CN"/>
        </w:rPr>
        <w:t>。</w:t>
      </w:r>
    </w:p>
    <w:p>
      <w:pPr>
        <w:keepNext w:val="0"/>
        <w:keepLines w:val="0"/>
        <w:pageBreakBefore w:val="0"/>
        <w:numPr>
          <w:ilvl w:val="0"/>
          <w:numId w:val="0"/>
        </w:numPr>
        <w:kinsoku/>
        <w:wordWrap/>
        <w:overflowPunct/>
        <w:topLinePunct w:val="0"/>
        <w:autoSpaceDE w:val="0"/>
        <w:autoSpaceDN w:val="0"/>
        <w:bidi w:val="0"/>
        <w:spacing w:line="520" w:lineRule="exact"/>
        <w:ind w:firstLine="560" w:firstLineChars="200"/>
        <w:textAlignment w:val="auto"/>
        <w:rPr>
          <w:rFonts w:hint="eastAsia" w:ascii="仿宋" w:hAnsi="仿宋" w:eastAsia="仿宋"/>
          <w:color w:val="auto"/>
          <w:sz w:val="28"/>
          <w:szCs w:val="28"/>
          <w:highlight w:val="none"/>
        </w:rPr>
      </w:pPr>
      <w:r>
        <w:rPr>
          <w:rFonts w:hint="eastAsia" w:ascii="仿宋" w:hAnsi="仿宋" w:eastAsia="仿宋"/>
          <w:color w:val="auto"/>
          <w:sz w:val="28"/>
          <w:szCs w:val="28"/>
          <w:highlight w:val="none"/>
          <w:lang w:val="en-US" w:eastAsia="zh-CN"/>
        </w:rPr>
        <w:t>3.</w:t>
      </w:r>
      <w:r>
        <w:rPr>
          <w:rFonts w:hint="eastAsia" w:ascii="仿宋" w:hAnsi="仿宋" w:eastAsia="仿宋"/>
          <w:color w:val="auto"/>
          <w:sz w:val="28"/>
          <w:szCs w:val="28"/>
          <w:highlight w:val="none"/>
        </w:rPr>
        <w:t>付款方式：</w:t>
      </w:r>
      <w:r>
        <w:rPr>
          <w:rFonts w:hint="eastAsia" w:ascii="仿宋" w:hAnsi="仿宋" w:eastAsia="仿宋"/>
          <w:color w:val="auto"/>
          <w:sz w:val="28"/>
          <w:szCs w:val="28"/>
          <w:highlight w:val="none"/>
          <w:lang w:val="en-US" w:eastAsia="zh-CN"/>
        </w:rPr>
        <w:t>详见合同范本。</w:t>
      </w:r>
    </w:p>
    <w:p>
      <w:pPr>
        <w:autoSpaceDE w:val="0"/>
        <w:autoSpaceDN w:val="0"/>
        <w:ind w:firstLine="560" w:firstLineChars="200"/>
        <w:rPr>
          <w:rFonts w:hint="eastAsia" w:ascii="仿宋" w:hAnsi="仿宋" w:eastAsia="仿宋" w:cs="仿宋_GB2312"/>
          <w:bCs/>
          <w:color w:val="auto"/>
          <w:sz w:val="28"/>
          <w:szCs w:val="28"/>
          <w:highlight w:val="none"/>
          <w:lang w:val="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安全文明施工要求：</w:t>
      </w:r>
    </w:p>
    <w:p>
      <w:pPr>
        <w:autoSpaceDE w:val="0"/>
        <w:autoSpaceDN w:val="0"/>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)在工程进行中，承包单位要注意保护场内的各种管线和设施。若有任何损坏，须立即通知有关部门和发包人，并由损坏单位承担损失和修复费用。</w:t>
      </w:r>
    </w:p>
    <w:p>
      <w:pPr>
        <w:autoSpaceDE w:val="0"/>
        <w:autoSpaceDN w:val="0"/>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ind w:firstLine="560" w:firstLineChars="200"/>
        <w:rPr>
          <w:rFonts w:hint="eastAsia" w:ascii="仿宋" w:hAnsi="仿宋" w:eastAsia="仿宋" w:cs="仿宋"/>
          <w:color w:val="auto"/>
          <w:sz w:val="24"/>
          <w:highlight w:val="none"/>
        </w:rPr>
      </w:pPr>
      <w:r>
        <w:rPr>
          <w:rFonts w:hint="eastAsia" w:ascii="仿宋" w:hAnsi="仿宋" w:eastAsia="仿宋" w:cs="仿宋"/>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autoSpaceDE w:val="0"/>
        <w:autoSpaceDN w:val="0"/>
        <w:ind w:left="56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4.总包及分包规定：</w:t>
      </w:r>
    </w:p>
    <w:p>
      <w:pPr>
        <w:autoSpaceDE w:val="0"/>
        <w:autoSpaceDN w:val="0"/>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承包单位不许转包，不许擅自分包,</w:t>
      </w:r>
      <w:r>
        <w:rPr>
          <w:rFonts w:hint="eastAsia" w:ascii="仿宋" w:hAnsi="仿宋" w:eastAsia="仿宋" w:cs="仿宋"/>
          <w:bCs/>
          <w:color w:val="auto"/>
          <w:szCs w:val="21"/>
          <w:highlight w:val="none"/>
        </w:rPr>
        <w:t xml:space="preserve"> </w:t>
      </w:r>
      <w:r>
        <w:rPr>
          <w:rFonts w:hint="eastAsia" w:ascii="仿宋" w:hAnsi="仿宋" w:eastAsia="仿宋" w:cs="仿宋"/>
          <w:color w:val="auto"/>
          <w:sz w:val="28"/>
          <w:szCs w:val="28"/>
          <w:highlight w:val="none"/>
        </w:rPr>
        <w:t>否则，发包人有权单方面终止合同，并令其立即退场，由此而造成的经济损失由承包单位负责赔偿。</w:t>
      </w:r>
    </w:p>
    <w:p>
      <w:pPr>
        <w:autoSpaceDE w:val="0"/>
        <w:autoSpaceDN w:val="0"/>
        <w:ind w:left="560" w:firstLine="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5.保修期（保养期）：质保期</w:t>
      </w:r>
      <w:r>
        <w:rPr>
          <w:rFonts w:hint="eastAsia" w:ascii="仿宋" w:hAnsi="仿宋" w:eastAsia="仿宋" w:cs="仿宋"/>
          <w:color w:val="auto"/>
          <w:sz w:val="28"/>
          <w:szCs w:val="28"/>
          <w:highlight w:val="none"/>
          <w:lang w:val="en-US" w:eastAsia="zh-CN"/>
        </w:rPr>
        <w:t>一年</w:t>
      </w:r>
      <w:r>
        <w:rPr>
          <w:rFonts w:hint="eastAsia" w:ascii="仿宋" w:hAnsi="仿宋" w:eastAsia="仿宋" w:cs="仿宋"/>
          <w:color w:val="auto"/>
          <w:sz w:val="28"/>
          <w:szCs w:val="28"/>
          <w:highlight w:val="none"/>
        </w:rPr>
        <w:t>。</w:t>
      </w:r>
    </w:p>
    <w:p>
      <w:pPr>
        <w:autoSpaceDE w:val="0"/>
        <w:autoSpaceDN w:val="0"/>
        <w:ind w:firstLine="560" w:firstLineChars="200"/>
        <w:rPr>
          <w:rFonts w:hint="eastAsia" w:ascii="仿宋_GB2312" w:hAnsi="仿宋_GB2312" w:eastAsia="仿宋_GB2312" w:cs="仿宋_GB2312"/>
          <w:color w:val="auto"/>
          <w:sz w:val="28"/>
          <w:szCs w:val="28"/>
          <w:highlight w:val="none"/>
        </w:rPr>
      </w:pPr>
      <w:r>
        <w:rPr>
          <w:rFonts w:hint="eastAsia" w:ascii="仿宋" w:hAnsi="仿宋" w:eastAsia="仿宋" w:cs="仿宋"/>
          <w:color w:val="auto"/>
          <w:sz w:val="28"/>
          <w:szCs w:val="28"/>
          <w:highlight w:val="none"/>
        </w:rPr>
        <w:t>发包人将自承包商履行完合同义务之日起三十个工作日内组织验收，验收要求、验收标准及方法如下：</w:t>
      </w:r>
    </w:p>
    <w:p>
      <w:pPr>
        <w:autoSpaceDE w:val="0"/>
        <w:autoSpaceDN w:val="0"/>
        <w:ind w:firstLine="560" w:firstLineChars="200"/>
        <w:rPr>
          <w:rFonts w:hint="eastAsia" w:ascii="仿宋" w:hAnsi="仿宋" w:eastAsia="仿宋" w:cs="仿宋_GB2312"/>
          <w:bCs/>
          <w:color w:val="auto"/>
          <w:sz w:val="28"/>
          <w:szCs w:val="28"/>
          <w:highlight w:val="none"/>
          <w:lang w:val="zh-CN"/>
        </w:rPr>
      </w:pPr>
      <w:r>
        <w:rPr>
          <w:rFonts w:hint="eastAsia" w:ascii="仿宋" w:hAnsi="仿宋" w:eastAsia="仿宋" w:cs="仿宋_GB2312"/>
          <w:bCs/>
          <w:color w:val="auto"/>
          <w:sz w:val="28"/>
          <w:szCs w:val="28"/>
          <w:highlight w:val="none"/>
          <w:lang w:val="zh-CN"/>
        </w:rPr>
        <w:t>6.发包人将自承包商履行完合同义务之日起三十个工作日内组织验收，验收要求、验收标准及方法如下：</w:t>
      </w:r>
    </w:p>
    <w:p>
      <w:pPr>
        <w:tabs>
          <w:tab w:val="left" w:pos="1713"/>
        </w:tabs>
        <w:autoSpaceDE w:val="0"/>
        <w:autoSpaceDN w:val="0"/>
        <w:ind w:firstLine="560" w:firstLineChars="200"/>
        <w:rPr>
          <w:rFonts w:hint="eastAsia" w:ascii="仿宋" w:hAnsi="仿宋" w:eastAsia="仿宋" w:cs="仿宋_GB2312"/>
          <w:bCs/>
          <w:color w:val="auto"/>
          <w:sz w:val="28"/>
          <w:szCs w:val="28"/>
          <w:highlight w:val="none"/>
          <w:lang w:val="zh-CN"/>
        </w:rPr>
      </w:pPr>
      <w:r>
        <w:rPr>
          <w:rFonts w:hint="eastAsia" w:ascii="仿宋" w:hAnsi="仿宋" w:eastAsia="仿宋" w:cs="仿宋_GB2312"/>
          <w:bCs/>
          <w:color w:val="auto"/>
          <w:sz w:val="28"/>
          <w:szCs w:val="28"/>
          <w:highlight w:val="none"/>
          <w:lang w:val="zh-CN"/>
        </w:rPr>
        <w:t>验收依据：询价文件、询价响应文件及国家有关的质量标准规定，均为验收依据。</w:t>
      </w:r>
    </w:p>
    <w:p>
      <w:pPr>
        <w:tabs>
          <w:tab w:val="left" w:pos="1713"/>
        </w:tabs>
        <w:autoSpaceDE w:val="0"/>
        <w:autoSpaceDN w:val="0"/>
        <w:ind w:firstLine="560" w:firstLineChars="200"/>
        <w:rPr>
          <w:rFonts w:hint="eastAsia" w:ascii="仿宋" w:hAnsi="仿宋" w:eastAsia="仿宋" w:cs="仿宋_GB2312"/>
          <w:bCs/>
          <w:color w:val="auto"/>
          <w:sz w:val="28"/>
          <w:szCs w:val="28"/>
          <w:highlight w:val="none"/>
          <w:lang w:val="zh-CN"/>
        </w:rPr>
      </w:pPr>
      <w:r>
        <w:rPr>
          <w:rFonts w:hint="eastAsia" w:ascii="仿宋" w:hAnsi="仿宋" w:eastAsia="仿宋" w:cs="仿宋_GB2312"/>
          <w:bCs/>
          <w:color w:val="auto"/>
          <w:sz w:val="28"/>
          <w:szCs w:val="28"/>
          <w:highlight w:val="none"/>
          <w:lang w:val="zh-CN"/>
        </w:rPr>
        <w:t>验收时承包单位必须派代表参加。</w:t>
      </w:r>
    </w:p>
    <w:p>
      <w:pPr>
        <w:autoSpaceDE w:val="0"/>
        <w:autoSpaceDN w:val="0"/>
        <w:ind w:firstLine="560" w:firstLineChars="200"/>
        <w:rPr>
          <w:rFonts w:hint="eastAsia" w:ascii="仿宋" w:hAnsi="仿宋" w:eastAsia="仿宋" w:cs="仿宋_GB2312"/>
          <w:bCs/>
          <w:color w:val="auto"/>
          <w:sz w:val="28"/>
          <w:szCs w:val="28"/>
          <w:highlight w:val="none"/>
          <w:lang w:val="zh-CN"/>
        </w:rPr>
      </w:pPr>
      <w:r>
        <w:rPr>
          <w:rFonts w:hint="eastAsia" w:ascii="仿宋" w:hAnsi="仿宋" w:eastAsia="仿宋" w:cs="仿宋_GB2312"/>
          <w:bCs/>
          <w:color w:val="auto"/>
          <w:sz w:val="28"/>
          <w:szCs w:val="28"/>
          <w:highlight w:val="none"/>
          <w:lang w:val="zh-CN"/>
        </w:rPr>
        <w:t>验收过程所发生的一切费用由承包单位承担。</w:t>
      </w:r>
    </w:p>
    <w:p>
      <w:pPr>
        <w:autoSpaceDE w:val="0"/>
        <w:autoSpaceDN w:val="0"/>
        <w:ind w:firstLine="560" w:firstLineChars="200"/>
        <w:rPr>
          <w:rFonts w:hint="eastAsia" w:ascii="仿宋" w:hAnsi="仿宋" w:eastAsia="仿宋" w:cs="仿宋_GB2312"/>
          <w:bCs/>
          <w:color w:val="auto"/>
          <w:sz w:val="28"/>
          <w:szCs w:val="28"/>
          <w:highlight w:val="none"/>
          <w:lang w:val="zh-CN"/>
        </w:rPr>
      </w:pPr>
      <w:r>
        <w:rPr>
          <w:rFonts w:hint="eastAsia" w:ascii="仿宋" w:hAnsi="仿宋" w:eastAsia="仿宋" w:cs="仿宋_GB2312"/>
          <w:bCs/>
          <w:color w:val="auto"/>
          <w:sz w:val="28"/>
          <w:szCs w:val="28"/>
          <w:highlight w:val="none"/>
          <w:lang w:val="zh-CN"/>
        </w:rPr>
        <w:t>7.付款方式：按合同要求。</w:t>
      </w:r>
    </w:p>
    <w:p>
      <w:pPr>
        <w:spacing w:line="360" w:lineRule="auto"/>
        <w:ind w:firstLine="560" w:firstLineChars="200"/>
        <w:rPr>
          <w:rFonts w:hint="eastAsia" w:ascii="仿宋" w:hAnsi="仿宋" w:eastAsia="仿宋"/>
          <w:color w:val="auto"/>
          <w:sz w:val="28"/>
          <w:szCs w:val="28"/>
          <w:highlight w:val="none"/>
        </w:rPr>
      </w:pPr>
      <w:r>
        <w:rPr>
          <w:rFonts w:hint="eastAsia" w:ascii="仿宋" w:hAnsi="仿宋" w:eastAsia="仿宋" w:cs="仿宋_GB2312"/>
          <w:bCs/>
          <w:color w:val="auto"/>
          <w:sz w:val="28"/>
          <w:szCs w:val="28"/>
          <w:highlight w:val="none"/>
          <w:lang w:val="zh-CN"/>
        </w:rPr>
        <w:t>8.承包方式：</w:t>
      </w:r>
      <w:r>
        <w:rPr>
          <w:rFonts w:hint="eastAsia" w:ascii="仿宋" w:hAnsi="仿宋" w:eastAsia="仿宋" w:cs="仿宋_GB2312"/>
          <w:bCs/>
          <w:color w:val="auto"/>
          <w:sz w:val="28"/>
          <w:szCs w:val="28"/>
          <w:highlight w:val="none"/>
          <w:lang w:val="en-US" w:eastAsia="zh-CN"/>
        </w:rPr>
        <w:t>单价包干。</w:t>
      </w:r>
    </w:p>
    <w:p>
      <w:pPr>
        <w:pStyle w:val="29"/>
        <w:ind w:firstLine="560" w:firstLineChars="200"/>
        <w:rPr>
          <w:rFonts w:hint="eastAsia" w:ascii="仿宋" w:hAnsi="仿宋" w:eastAsia="仿宋" w:cs="仿宋"/>
          <w:i w:val="0"/>
          <w:caps w:val="0"/>
          <w:color w:val="auto"/>
          <w:spacing w:val="0"/>
          <w:sz w:val="28"/>
          <w:szCs w:val="28"/>
          <w:highlight w:val="none"/>
          <w:shd w:val="clear" w:color="auto" w:fill="FFFFFF"/>
          <w:lang w:val="en-US" w:eastAsia="zh-CN"/>
        </w:rPr>
      </w:pPr>
    </w:p>
    <w:p>
      <w:pPr>
        <w:pStyle w:val="29"/>
        <w:rPr>
          <w:rFonts w:hint="eastAsia" w:ascii="仿宋" w:hAnsi="仿宋" w:eastAsia="仿宋" w:cs="仿宋"/>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color w:val="auto"/>
          <w:highlight w:val="none"/>
        </w:rPr>
      </w:pPr>
    </w:p>
    <w:p>
      <w:pPr>
        <w:rPr>
          <w:rFonts w:hint="eastAsia"/>
          <w:color w:val="auto"/>
          <w:highlight w:val="none"/>
        </w:rPr>
      </w:pPr>
      <w:bookmarkStart w:id="61" w:name="_Toc23330"/>
      <w:bookmarkStart w:id="62" w:name="_Toc1284"/>
      <w:bookmarkStart w:id="63" w:name="_Toc12135"/>
      <w:bookmarkStart w:id="64" w:name="_Toc23353"/>
      <w:bookmarkStart w:id="65" w:name="_Toc18538"/>
      <w:bookmarkStart w:id="66" w:name="_Toc537"/>
      <w:bookmarkStart w:id="67" w:name="_Toc4680"/>
      <w:bookmarkStart w:id="68" w:name="_Toc29835"/>
      <w:bookmarkStart w:id="69" w:name="_Toc1496"/>
      <w:bookmarkStart w:id="70" w:name="_Toc15570"/>
      <w:bookmarkStart w:id="71" w:name="_Toc25925"/>
    </w:p>
    <w:p>
      <w:pPr>
        <w:pStyle w:val="4"/>
        <w:jc w:val="both"/>
        <w:rPr>
          <w:rFonts w:hint="eastAsia"/>
          <w:color w:val="auto"/>
          <w:highlight w:val="none"/>
        </w:rPr>
      </w:pPr>
    </w:p>
    <w:p>
      <w:pPr>
        <w:pStyle w:val="4"/>
        <w:ind w:firstLine="3520" w:firstLineChars="800"/>
        <w:jc w:val="both"/>
        <w:rPr>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2174875</wp:posOffset>
                </wp:positionH>
                <wp:positionV relativeFrom="paragraph">
                  <wp:posOffset>464185</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71.25pt;margin-top:36.55pt;height:0pt;width:75.5pt;z-index:251665408;mso-width-relative:page;mso-height-relative:page;" filled="f" stroked="t" coordsize="21600,21600" o:gfxdata="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qWlZ1wAAAAk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2164715</wp:posOffset>
                </wp:positionH>
                <wp:positionV relativeFrom="paragraph">
                  <wp:posOffset>102235</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70.45pt;margin-top:8.05pt;height:0pt;width:75.5pt;z-index:251664384;mso-width-relative:page;mso-height-relative:page;" filled="f" stroked="t" coordsize="21600,21600" o:gfxdata="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i84c2Dpwn9+&#10;+vbr4+e7Lz/uvn9ly6zQELCmwI27iacdhpuY6R7aaPOfiLBDUfV4VlUdEhN0+GKxXC5Ib3Hvqh7y&#10;QsT0SnnLstFwTBF016eNd46uzsdZERX2rzFRZUq8T8hFjWNDhp9T6wJ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QjI79YAAAAJAQAADwAAAAAAAAABACAAAAAiAAAAZHJzL2Rvd25yZXYueG1sUEsBAhQAFAAA&#10;AAgAh07iQGNmbxzxAQAA4gMAAA4AAAAAAAAAAQAgAAAAJQEAAGRycy9lMm9Eb2MueG1sUEsFBgAA&#10;AAAGAAYAWQEAAIgFA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8"/>
        <w:rPr>
          <w:color w:val="auto"/>
          <w:highlight w:val="none"/>
        </w:rPr>
      </w:pPr>
    </w:p>
    <w:p>
      <w:pPr>
        <w:pStyle w:val="4"/>
        <w:ind w:firstLine="3520" w:firstLineChars="800"/>
        <w:jc w:val="both"/>
        <w:rPr>
          <w:color w:val="auto"/>
          <w:highlight w:val="none"/>
        </w:rPr>
      </w:pPr>
      <w:bookmarkStart w:id="72" w:name="_Toc22501"/>
      <w:bookmarkStart w:id="73" w:name="_Toc12968"/>
      <w:bookmarkStart w:id="74" w:name="_Toc19686"/>
      <w:bookmarkStart w:id="75" w:name="_Toc8183"/>
      <w:bookmarkStart w:id="76" w:name="_Toc12721"/>
      <w:bookmarkStart w:id="77" w:name="_Toc12980"/>
      <w:bookmarkStart w:id="78" w:name="_Toc88209949"/>
      <w:bookmarkStart w:id="79" w:name="_Toc1375"/>
      <w:bookmarkStart w:id="80" w:name="_Toc13309"/>
      <w:bookmarkStart w:id="81" w:name="_Toc22797"/>
      <w:bookmarkStart w:id="82" w:name="_Toc323"/>
      <w:bookmarkStart w:id="83" w:name="_Toc87616386"/>
      <w:bookmarkStart w:id="84" w:name="_Toc19088"/>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snapToGrid/>
        <w:spacing w:beforeLines="-2147483648" w:afterLines="-2147483648" w:line="240" w:lineRule="auto"/>
        <w:jc w:val="left"/>
        <w:rPr>
          <w:rFonts w:hint="eastAsia" w:ascii="方正小标宋简体" w:eastAsia="方正小标宋简体"/>
          <w:color w:val="auto"/>
          <w:sz w:val="28"/>
          <w:szCs w:val="28"/>
          <w:highlight w:val="none"/>
        </w:rPr>
      </w:pPr>
      <w:r>
        <w:rPr>
          <w:rFonts w:hint="eastAsia" w:ascii="方正小标宋简体" w:eastAsia="方正小标宋简体"/>
          <w:color w:val="auto"/>
          <w:sz w:val="28"/>
          <w:szCs w:val="28"/>
          <w:highlight w:val="none"/>
        </w:rPr>
        <w:br w:type="page"/>
      </w: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ind w:left="1506" w:hanging="1506" w:hangingChars="500"/>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val="en-US" w:eastAsia="zh-CN"/>
        </w:rPr>
        <w:t>广州市净水有限公司大坦沙分公司2022年日常维护项目（10月市政工程类）</w:t>
      </w:r>
    </w:p>
    <w:p>
      <w:pPr>
        <w:pStyle w:val="29"/>
        <w:spacing w:line="360" w:lineRule="auto"/>
        <w:rPr>
          <w:color w:val="auto"/>
          <w:highlight w:val="none"/>
        </w:rPr>
      </w:pPr>
    </w:p>
    <w:p>
      <w:pPr>
        <w:spacing w:line="400" w:lineRule="atLeast"/>
        <w:rPr>
          <w:rFonts w:hint="eastAsia" w:ascii="宋体" w:hAnsi="宋体" w:eastAsiaTheme="minorEastAsia"/>
          <w:b/>
          <w:color w:val="auto"/>
          <w:sz w:val="30"/>
          <w:szCs w:val="30"/>
          <w:highlight w:val="none"/>
          <w:lang w:val="en-US" w:eastAsia="zh-CN"/>
        </w:rPr>
      </w:pPr>
      <w:r>
        <w:rPr>
          <w:rFonts w:hint="eastAsia" w:ascii="宋体" w:hAnsi="宋体"/>
          <w:b/>
          <w:color w:val="auto"/>
          <w:sz w:val="30"/>
          <w:szCs w:val="30"/>
          <w:highlight w:val="none"/>
        </w:rPr>
        <w:t>项目编号：</w:t>
      </w:r>
      <w:bookmarkStart w:id="85" w:name="合同"/>
      <w:bookmarkEnd w:id="85"/>
    </w:p>
    <w:p>
      <w:pPr>
        <w:pStyle w:val="22"/>
        <w:rPr>
          <w:color w:val="auto"/>
          <w:highlight w:val="none"/>
        </w:rPr>
      </w:pPr>
    </w:p>
    <w:p>
      <w:pPr>
        <w:spacing w:line="400" w:lineRule="atLeast"/>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甲方：广州市净水有限公司</w:t>
      </w:r>
    </w:p>
    <w:p>
      <w:pPr>
        <w:spacing w:line="400" w:lineRule="atLeast"/>
        <w:rPr>
          <w:rFonts w:ascii="宋体" w:hAnsi="宋体" w:cs="宋体"/>
          <w:b/>
          <w:color w:val="auto"/>
          <w:sz w:val="30"/>
          <w:szCs w:val="30"/>
          <w:highlight w:val="none"/>
        </w:rPr>
      </w:pPr>
    </w:p>
    <w:p>
      <w:pPr>
        <w:spacing w:line="400" w:lineRule="atLeast"/>
        <w:rPr>
          <w:rFonts w:hint="default" w:ascii="宋体" w:hAnsi="宋体" w:eastAsia="宋体" w:cs="宋体"/>
          <w:b/>
          <w:bCs/>
          <w:color w:val="auto"/>
          <w:sz w:val="30"/>
          <w:szCs w:val="30"/>
          <w:highlight w:val="none"/>
          <w:lang w:val="en-US" w:eastAsia="zh-CN"/>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rPr>
          <w:color w:val="auto"/>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pStyle w:val="7"/>
        <w:rPr>
          <w:rFonts w:hint="eastAsia" w:ascii="宋体" w:hAnsi="宋体" w:cs="宋体"/>
          <w:b/>
          <w:color w:val="auto"/>
          <w:sz w:val="30"/>
          <w:highlight w:val="none"/>
        </w:rPr>
      </w:pPr>
    </w:p>
    <w:p>
      <w:pPr>
        <w:pStyle w:val="7"/>
        <w:ind w:left="0" w:leftChars="0" w:firstLine="0" w:firstLineChars="0"/>
        <w:rPr>
          <w:rFonts w:hint="eastAsia" w:ascii="宋体" w:hAnsi="宋体" w:cs="宋体"/>
          <w:b/>
          <w:color w:val="auto"/>
          <w:sz w:val="30"/>
          <w:highlight w:val="none"/>
          <w:lang w:val="zh-CN"/>
        </w:rPr>
      </w:pPr>
    </w:p>
    <w:p>
      <w:pPr>
        <w:spacing w:before="93" w:beforeLines="30" w:line="500" w:lineRule="exact"/>
        <w:ind w:left="210" w:leftChars="100" w:firstLine="600" w:firstLineChars="250"/>
        <w:rPr>
          <w:rFonts w:ascii="宋体" w:hAnsi="宋体" w:cs="宋体"/>
          <w:color w:val="auto"/>
          <w:sz w:val="24"/>
          <w:highlight w:val="none"/>
          <w:u w:val="single"/>
        </w:rPr>
      </w:pPr>
      <w:r>
        <w:rPr>
          <w:rFonts w:hint="eastAsia" w:ascii="宋体" w:hAnsi="宋体" w:cs="宋体"/>
          <w:color w:val="auto"/>
          <w:sz w:val="24"/>
          <w:highlight w:val="none"/>
        </w:rPr>
        <w:t>根据《中华人民共和国民法典》及其他有关法律、行政法规，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（以下简称“乙方”）就</w:t>
      </w:r>
      <w:r>
        <w:rPr>
          <w:rFonts w:hint="eastAsia" w:ascii="仿宋_GB2312" w:eastAsia="仿宋_GB2312"/>
          <w:color w:val="auto"/>
          <w:sz w:val="28"/>
          <w:szCs w:val="28"/>
          <w:highlight w:val="none"/>
          <w:u w:val="single"/>
          <w:lang w:val="en-US" w:eastAsia="zh-CN"/>
        </w:rPr>
        <w:t>广州市净水有限公司大坦沙分公司2022年日常维护项目（10月市政工程类）</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szCs w:val="22"/>
          <w:highlight w:val="none"/>
        </w:rPr>
        <w:t>成交通知书</w:t>
      </w:r>
      <w:r>
        <w:rPr>
          <w:rFonts w:hint="eastAsia" w:ascii="宋体" w:hAnsi="宋体" w:cs="宋体"/>
          <w:bCs/>
          <w:color w:val="auto"/>
          <w:sz w:val="24"/>
          <w:highlight w:val="none"/>
        </w:rPr>
        <w:t>/委托函；</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500" w:lineRule="exact"/>
        <w:ind w:firstLine="482"/>
        <w:rPr>
          <w:rFonts w:ascii="宋体" w:hAnsi="宋体" w:cs="宋体"/>
          <w:b/>
          <w:bCs/>
          <w:color w:val="auto"/>
          <w:sz w:val="24"/>
          <w:highlight w:val="none"/>
        </w:rPr>
      </w:pPr>
      <w:r>
        <w:rPr>
          <w:rFonts w:hint="eastAsia" w:ascii="宋体" w:hAnsi="宋体" w:cs="宋体"/>
          <w:bCs/>
          <w:color w:val="auto"/>
          <w:sz w:val="24"/>
          <w:highlight w:val="none"/>
        </w:rPr>
        <w:t>⑼ 本合同其他附件；</w:t>
      </w:r>
    </w:p>
    <w:p>
      <w:pPr>
        <w:spacing w:line="500" w:lineRule="exact"/>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500" w:lineRule="exact"/>
        <w:ind w:firstLine="480" w:firstLineChars="200"/>
        <w:rPr>
          <w:rFonts w:hint="eastAsia" w:ascii="宋体" w:hAnsi="宋体"/>
          <w:color w:val="auto"/>
          <w:sz w:val="24"/>
          <w:highlight w:val="none"/>
          <w:u w:val="single"/>
          <w:lang w:eastAsia="zh-CN"/>
        </w:rPr>
      </w:pPr>
      <w:r>
        <w:rPr>
          <w:rFonts w:hint="eastAsia" w:ascii="宋体" w:hAnsi="宋体" w:cs="宋体"/>
          <w:color w:val="auto"/>
          <w:sz w:val="24"/>
          <w:highlight w:val="none"/>
        </w:rPr>
        <w:t>2.1项目名称：</w:t>
      </w:r>
      <w:r>
        <w:rPr>
          <w:rFonts w:hint="eastAsia" w:ascii="仿宋_GB2312" w:eastAsia="仿宋_GB2312"/>
          <w:color w:val="auto"/>
          <w:sz w:val="28"/>
          <w:szCs w:val="28"/>
          <w:highlight w:val="none"/>
          <w:u w:val="single"/>
          <w:lang w:val="en-US" w:eastAsia="zh-CN"/>
        </w:rPr>
        <w:t>广州市净水有限公司大坦沙分公司2022年日常维护项目（9月市政工程类）</w:t>
      </w:r>
    </w:p>
    <w:tbl>
      <w:tblPr>
        <w:tblStyle w:val="23"/>
        <w:tblW w:w="38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30"/>
        <w:gridCol w:w="5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38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项目一</w:t>
            </w:r>
          </w:p>
        </w:tc>
        <w:tc>
          <w:tcPr>
            <w:tcW w:w="38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大坦沙分公司三期离心脱水机房分离液管道维修项目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项目二</w:t>
            </w:r>
          </w:p>
        </w:tc>
        <w:tc>
          <w:tcPr>
            <w:tcW w:w="38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大坦沙分公司一二三期厂区排泥管道优化项目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项目三</w:t>
            </w:r>
          </w:p>
        </w:tc>
        <w:tc>
          <w:tcPr>
            <w:tcW w:w="38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大坦沙分公司一期平流式沉砂池盖板维修项目</w:t>
            </w:r>
          </w:p>
        </w:tc>
      </w:tr>
    </w:tbl>
    <w:p>
      <w:pPr>
        <w:pStyle w:val="2"/>
        <w:rPr>
          <w:rFonts w:hint="eastAsia"/>
          <w:color w:val="auto"/>
          <w:highlight w:val="none"/>
          <w:lang w:eastAsia="zh-CN"/>
        </w:rPr>
      </w:pPr>
    </w:p>
    <w:p>
      <w:pPr>
        <w:spacing w:line="500" w:lineRule="exact"/>
        <w:ind w:firstLine="480" w:firstLineChars="200"/>
        <w:jc w:val="center"/>
        <w:rPr>
          <w:rFonts w:ascii="宋体" w:hAnsi="宋体" w:cs="宋体"/>
          <w:color w:val="auto"/>
          <w:sz w:val="24"/>
          <w:highlight w:val="none"/>
        </w:rPr>
      </w:pPr>
      <w:r>
        <w:rPr>
          <w:rFonts w:hint="eastAsia" w:ascii="宋体" w:hAnsi="宋体" w:cs="宋体"/>
          <w:bCs/>
          <w:color w:val="auto"/>
          <w:sz w:val="24"/>
          <w:szCs w:val="22"/>
          <w:highlight w:val="none"/>
        </w:rPr>
        <w:t>（以下分别简称“项目一、项目二、项目三）</w:t>
      </w:r>
    </w:p>
    <w:p>
      <w:pPr>
        <w:spacing w:line="500" w:lineRule="exact"/>
        <w:ind w:firstLine="480" w:firstLineChars="200"/>
        <w:rPr>
          <w:rFonts w:hint="default" w:hAnsi="宋体" w:cs="宋体"/>
          <w:color w:val="auto"/>
          <w:sz w:val="24"/>
          <w:szCs w:val="20"/>
          <w:highlight w:val="none"/>
          <w:lang w:val="en-US" w:eastAsia="zh-CN"/>
        </w:rPr>
      </w:pPr>
      <w:r>
        <w:rPr>
          <w:rFonts w:hint="eastAsia" w:ascii="宋体" w:hAnsi="宋体" w:cs="宋体"/>
          <w:color w:val="auto"/>
          <w:sz w:val="24"/>
          <w:highlight w:val="none"/>
        </w:rPr>
        <w:t xml:space="preserve">2.2项目地点：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大坦沙分公司</w:t>
      </w:r>
      <w:r>
        <w:rPr>
          <w:rFonts w:hint="eastAsia" w:ascii="宋体" w:hAnsi="宋体" w:cs="宋体"/>
          <w:color w:val="auto"/>
          <w:sz w:val="24"/>
          <w:highlight w:val="none"/>
          <w:u w:val="single"/>
        </w:rPr>
        <w:t xml:space="preserve"> 。</w:t>
      </w:r>
    </w:p>
    <w:p>
      <w:pPr>
        <w:spacing w:line="500" w:lineRule="exact"/>
        <w:rPr>
          <w:color w:val="auto"/>
          <w:highlight w:val="none"/>
        </w:rPr>
      </w:pPr>
      <w:r>
        <w:rPr>
          <w:rFonts w:hint="eastAsia" w:ascii="宋体" w:hAnsi="宋体" w:cs="宋体"/>
          <w:color w:val="auto"/>
          <w:sz w:val="24"/>
          <w:highlight w:val="none"/>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2.4项目内容</w:t>
      </w:r>
    </w:p>
    <w:tbl>
      <w:tblPr>
        <w:tblStyle w:val="2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2487"/>
        <w:gridCol w:w="45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项目一</w:t>
            </w:r>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大坦沙分公司三期离心脱水机房分离液管道维修项目</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sz w:val="24"/>
                <w:szCs w:val="24"/>
                <w:highlight w:val="none"/>
                <w:u w:val="none"/>
                <w:lang w:val="en-US" w:eastAsia="zh-CN"/>
              </w:rPr>
              <w:t>三期离心脱水机房分离液管道维修所包含所有工序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项目二</w:t>
            </w:r>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大坦沙分公司一二三期厂区排泥管道优化项目</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一二三期厂区排泥管道优化所包含所有工序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项目三</w:t>
            </w:r>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大坦沙分公司一期平流式沉砂池盖板维修项目</w:t>
            </w:r>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一期平流式沉砂池盖板维修所包含所有工序</w:t>
            </w:r>
          </w:p>
        </w:tc>
      </w:tr>
    </w:tbl>
    <w:p>
      <w:pPr>
        <w:pStyle w:val="2"/>
        <w:rPr>
          <w:color w:val="auto"/>
          <w:highlight w:val="none"/>
        </w:rPr>
      </w:pP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FE"/>
      </w:r>
      <w:r>
        <w:rPr>
          <w:rFonts w:hint="eastAsia" w:ascii="宋体" w:hAnsi="宋体" w:cs="宋体"/>
          <w:color w:val="auto"/>
          <w:sz w:val="24"/>
          <w:highlight w:val="none"/>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A8"/>
      </w:r>
      <w:r>
        <w:rPr>
          <w:rFonts w:hint="eastAsia" w:ascii="宋体" w:hAnsi="宋体" w:cs="宋体"/>
          <w:color w:val="auto"/>
          <w:sz w:val="24"/>
          <w:highlight w:val="none"/>
        </w:rPr>
        <w:t>包工、包料、包质量、包工期、包安全、包文明施工、包设计、包调试、包验收的施工图纸，以总价包干形式。</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5"/>
        </w:numPr>
        <w:spacing w:line="50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r>
        <w:rPr>
          <w:rFonts w:hint="eastAsia" w:ascii="宋体" w:hAnsi="宋体" w:cs="宋体"/>
          <w:b/>
          <w:color w:val="auto"/>
          <w:sz w:val="24"/>
          <w:highlight w:val="none"/>
        </w:rPr>
        <w:t xml:space="preserve">         </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综合单价</w:t>
      </w:r>
      <w:r>
        <w:rPr>
          <w:rFonts w:hint="eastAsia" w:ascii="宋体" w:hAnsi="宋体" w:cs="宋体"/>
          <w:color w:val="auto"/>
          <w:sz w:val="24"/>
          <w:highlight w:val="none"/>
          <w:lang w:val="en-US" w:eastAsia="zh-CN"/>
        </w:rPr>
        <w:t>详见</w:t>
      </w:r>
      <w:r>
        <w:rPr>
          <w:rFonts w:hint="eastAsia" w:ascii="宋体" w:hAnsi="宋体" w:cs="宋体"/>
          <w:color w:val="auto"/>
          <w:sz w:val="24"/>
          <w:highlight w:val="none"/>
        </w:rPr>
        <w:t>附件5工程量清单报价。</w:t>
      </w:r>
    </w:p>
    <w:p>
      <w:pPr>
        <w:autoSpaceDE w:val="0"/>
        <w:autoSpaceDN w:val="0"/>
        <w:adjustRightIn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税率为9%</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color w:val="auto"/>
          <w:kern w:val="0"/>
          <w:sz w:val="24"/>
          <w:highlight w:val="none"/>
          <w:lang w:val="zh-CN"/>
        </w:rPr>
      </w:pPr>
      <w:r>
        <w:rPr>
          <w:rFonts w:ascii="宋体" w:hAnsi="宋体" w:cs="宋体"/>
          <w:color w:val="auto"/>
          <w:kern w:val="0"/>
          <w:sz w:val="24"/>
          <w:highlight w:val="none"/>
          <w:lang w:val="zh-CN"/>
        </w:rPr>
        <w:t>4.3</w:t>
      </w:r>
      <w:r>
        <w:rPr>
          <w:rFonts w:hint="eastAsia" w:ascii="宋体" w:hAnsi="宋体" w:cs="宋体"/>
          <w:color w:val="auto"/>
          <w:kern w:val="0"/>
          <w:sz w:val="24"/>
          <w:highlight w:val="none"/>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color w:val="auto"/>
          <w:highlight w:val="none"/>
        </w:rPr>
      </w:pPr>
      <w:r>
        <w:rPr>
          <w:rFonts w:ascii="宋体" w:hAnsi="宋体" w:cs="宋体"/>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w:t>
      </w:r>
      <w:r>
        <w:rPr>
          <w:rFonts w:ascii="宋体" w:hAnsi="宋体" w:cs="宋体"/>
          <w:b/>
          <w:bCs/>
          <w:color w:val="auto"/>
          <w:sz w:val="24"/>
          <w:highlight w:val="none"/>
        </w:rPr>
        <w:t xml:space="preserve"> </w:t>
      </w:r>
      <w:r>
        <w:rPr>
          <w:rFonts w:hint="eastAsia" w:ascii="宋体" w:hAnsi="宋体" w:cs="宋体"/>
          <w:b/>
          <w:bCs/>
          <w:color w:val="auto"/>
          <w:sz w:val="24"/>
          <w:highlight w:val="none"/>
        </w:rPr>
        <w:t>工期及要求</w:t>
      </w:r>
    </w:p>
    <w:p>
      <w:pPr>
        <w:widowControl/>
        <w:spacing w:line="500" w:lineRule="exact"/>
        <w:ind w:firstLine="480" w:firstLineChars="200"/>
        <w:jc w:val="left"/>
        <w:rPr>
          <w:color w:val="auto"/>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color w:val="auto"/>
          <w:sz w:val="24"/>
          <w:highlight w:val="none"/>
          <w:lang w:val="en-US" w:eastAsia="zh-CN"/>
        </w:rPr>
        <w:t>及总日历天数</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u w:val="single"/>
          <w:lang w:val="en-US" w:eastAsia="zh-CN"/>
        </w:rPr>
        <w:t>40</w:t>
      </w:r>
      <w:r>
        <w:rPr>
          <w:rFonts w:hint="eastAsia" w:asciiTheme="minorEastAsia" w:hAnsiTheme="minorEastAsia" w:cstheme="minorEastAsia"/>
          <w:color w:val="auto"/>
          <w:sz w:val="24"/>
          <w:szCs w:val="24"/>
          <w:highlight w:val="none"/>
          <w:lang w:val="en-US" w:eastAsia="zh-CN"/>
        </w:rPr>
        <w:t>天</w:t>
      </w:r>
      <w:r>
        <w:rPr>
          <w:rFonts w:hint="eastAsia" w:ascii="宋体" w:hAnsi="宋体" w:cs="宋体"/>
          <w:b/>
          <w:bCs/>
          <w:color w:val="auto"/>
          <w:sz w:val="24"/>
          <w:highlight w:val="none"/>
        </w:rPr>
        <w:t>。</w:t>
      </w:r>
      <w:r>
        <w:rPr>
          <w:rFonts w:hint="eastAsia" w:ascii="宋体" w:hAnsi="宋体" w:cs="宋体"/>
          <w:color w:val="auto"/>
          <w:sz w:val="24"/>
          <w:highlight w:val="none"/>
        </w:rPr>
        <w:t>乙方未能按合同工期竣工验收的，每逾期一天，甲方有权要求乙方按合同暂定总价的 1%支付违约金，逾期达到</w:t>
      </w:r>
      <w:r>
        <w:rPr>
          <w:rFonts w:ascii="宋体" w:hAnsi="宋体" w:cs="宋体"/>
          <w:color w:val="auto"/>
          <w:sz w:val="24"/>
          <w:highlight w:val="none"/>
          <w:u w:val="single"/>
        </w:rPr>
        <w:t>30</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highlight w:val="none"/>
          <w:u w:val="single"/>
        </w:rPr>
        <w:t xml:space="preserve"> 7 </w:t>
      </w:r>
      <w:r>
        <w:rPr>
          <w:rFonts w:hint="eastAsia" w:ascii="宋体" w:hAnsi="宋体" w:cs="宋体"/>
          <w:bCs/>
          <w:color w:val="auto"/>
          <w:sz w:val="24"/>
          <w:highlight w:val="none"/>
        </w:rPr>
        <w:t>日内将全部图纸退还给甲方。</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w:t>
      </w:r>
      <w:r>
        <w:rPr>
          <w:rFonts w:hint="eastAsia" w:ascii="宋体" w:hAnsi="宋体" w:cs="宋体"/>
          <w:bCs/>
          <w:color w:val="auto"/>
          <w:sz w:val="24"/>
          <w:highlight w:val="none"/>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2"/>
        <w:spacing w:line="500" w:lineRule="exact"/>
        <w:ind w:firstLine="448" w:firstLineChars="200"/>
        <w:outlineLvl w:val="1"/>
        <w:rPr>
          <w:rFonts w:hAnsi="宋体" w:cs="宋体"/>
          <w:color w:val="auto"/>
          <w:spacing w:val="-8"/>
          <w:sz w:val="24"/>
          <w:szCs w:val="24"/>
          <w:highlight w:val="none"/>
        </w:rPr>
      </w:pPr>
      <w:r>
        <w:rPr>
          <w:rFonts w:asciiTheme="minorEastAsia" w:hAnsiTheme="minorEastAsia" w:eastAsiaTheme="minorEastAsia" w:cstheme="minorEastAsia"/>
          <w:color w:val="auto"/>
          <w:spacing w:val="-8"/>
          <w:sz w:val="24"/>
          <w:szCs w:val="24"/>
          <w:highlight w:val="none"/>
        </w:rPr>
        <w:t>5.</w:t>
      </w:r>
      <w:r>
        <w:rPr>
          <w:rFonts w:hint="eastAsia" w:asciiTheme="minorEastAsia" w:hAnsiTheme="minorEastAsia" w:eastAsiaTheme="minorEastAsia" w:cstheme="minorEastAsia"/>
          <w:color w:val="auto"/>
          <w:spacing w:val="-8"/>
          <w:sz w:val="24"/>
          <w:szCs w:val="24"/>
          <w:highlight w:val="none"/>
        </w:rPr>
        <w:t>6</w:t>
      </w:r>
      <w:r>
        <w:rPr>
          <w:rFonts w:hint="eastAsia" w:hAnsi="宋体" w:cs="宋体"/>
          <w:color w:val="auto"/>
          <w:spacing w:val="-8"/>
          <w:sz w:val="24"/>
          <w:szCs w:val="24"/>
          <w:highlight w:val="none"/>
        </w:rPr>
        <w:t>乙方不得随意更换项目负责人及附件6中的相关人员，如确须更换，应提前征得甲方同意。如有违反，甲方有权解除合同并要求乙方支付</w:t>
      </w:r>
      <w:r>
        <w:rPr>
          <w:rFonts w:hint="eastAsia" w:hAnsi="宋体" w:cs="宋体"/>
          <w:color w:val="auto"/>
          <w:spacing w:val="-8"/>
          <w:sz w:val="24"/>
          <w:szCs w:val="24"/>
          <w:highlight w:val="none"/>
          <w:u w:val="single"/>
        </w:rPr>
        <w:t>5000元/人次</w:t>
      </w:r>
      <w:r>
        <w:rPr>
          <w:rFonts w:hint="eastAsia" w:hAnsi="宋体" w:cs="宋体"/>
          <w:color w:val="auto"/>
          <w:spacing w:val="-8"/>
          <w:sz w:val="24"/>
          <w:szCs w:val="24"/>
          <w:highlight w:val="none"/>
        </w:rPr>
        <w:t>作为违约金，以及赔偿由此造成的一切损失(包含质量安全事故、工期延误、增加投资等)。</w:t>
      </w:r>
      <w:r>
        <w:rPr>
          <w:rFonts w:hAnsi="宋体" w:cs="宋体"/>
          <w:color w:val="auto"/>
          <w:spacing w:val="-8"/>
          <w:sz w:val="24"/>
          <w:szCs w:val="24"/>
          <w:highlight w:val="none"/>
        </w:rPr>
        <w:t xml:space="preserve">   </w:t>
      </w:r>
    </w:p>
    <w:p>
      <w:pPr>
        <w:widowControl/>
        <w:spacing w:line="500" w:lineRule="exact"/>
        <w:ind w:left="1" w:firstLine="448" w:firstLineChars="200"/>
        <w:jc w:val="left"/>
        <w:rPr>
          <w:rFonts w:ascii="宋体" w:hAnsi="宋体" w:cs="宋体"/>
          <w:color w:val="auto"/>
          <w:spacing w:val="-8"/>
          <w:sz w:val="24"/>
          <w:szCs w:val="24"/>
          <w:highlight w:val="none"/>
        </w:rPr>
      </w:pPr>
      <w:r>
        <w:rPr>
          <w:rFonts w:ascii="宋体" w:hAnsi="宋体" w:cs="宋体"/>
          <w:bCs/>
          <w:color w:val="auto"/>
          <w:spacing w:val="-8"/>
          <w:sz w:val="24"/>
          <w:szCs w:val="24"/>
          <w:highlight w:val="none"/>
        </w:rPr>
        <w:t>5.</w:t>
      </w:r>
      <w:r>
        <w:rPr>
          <w:rFonts w:hint="eastAsia" w:ascii="宋体" w:hAnsi="宋体" w:cs="宋体"/>
          <w:bCs/>
          <w:color w:val="auto"/>
          <w:spacing w:val="-8"/>
          <w:sz w:val="24"/>
          <w:szCs w:val="24"/>
          <w:highlight w:val="none"/>
        </w:rPr>
        <w:t>7施工过程中，项目负责人应驻场管理，否则甲方有权要求乙方支付违约</w:t>
      </w:r>
      <w:r>
        <w:rPr>
          <w:rFonts w:hint="eastAsia" w:ascii="宋体" w:hAnsi="宋体" w:cs="宋体"/>
          <w:bCs/>
          <w:color w:val="auto"/>
          <w:spacing w:val="-8"/>
          <w:sz w:val="24"/>
          <w:szCs w:val="24"/>
          <w:highlight w:val="none"/>
          <w:u w:val="single"/>
        </w:rPr>
        <w:t xml:space="preserve"> 1000元/天</w:t>
      </w:r>
      <w:r>
        <w:rPr>
          <w:rFonts w:hint="eastAsia" w:ascii="宋体" w:hAnsi="宋体" w:cs="宋体"/>
          <w:bCs/>
          <w:color w:val="auto"/>
          <w:spacing w:val="-8"/>
          <w:sz w:val="24"/>
          <w:szCs w:val="24"/>
          <w:highlight w:val="none"/>
        </w:rPr>
        <w:t>，因此造成损失的，按实际发生额赔偿。</w:t>
      </w:r>
    </w:p>
    <w:p>
      <w:pPr>
        <w:widowControl/>
        <w:spacing w:line="500" w:lineRule="exact"/>
        <w:ind w:left="1" w:firstLine="448" w:firstLineChars="200"/>
        <w:jc w:val="left"/>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color w:val="auto"/>
          <w:spacing w:val="-8"/>
          <w:sz w:val="24"/>
          <w:szCs w:val="24"/>
          <w:highlight w:val="none"/>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在合同有效期内，乙方自愿接受甲方按《广州市净水有限公司经营建设项目参建企业不诚信行为管理办法》、《营运项目承包单位日常履约考评参照表（安全）》处理，具体处理标准详见附件</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p>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第六条</w:t>
      </w:r>
      <w:r>
        <w:rPr>
          <w:rFonts w:ascii="宋体" w:hAnsi="宋体" w:cs="宋体"/>
          <w:b/>
          <w:color w:val="auto"/>
          <w:sz w:val="24"/>
          <w:highlight w:val="none"/>
        </w:rPr>
        <w:t xml:space="preserve"> </w:t>
      </w:r>
      <w:r>
        <w:rPr>
          <w:rFonts w:hint="eastAsia" w:ascii="宋体" w:hAnsi="宋体" w:cs="宋体"/>
          <w:b/>
          <w:color w:val="auto"/>
          <w:sz w:val="24"/>
          <w:highlight w:val="none"/>
        </w:rPr>
        <w:t>实施条件及管理要求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29"/>
        <w:spacing w:line="500" w:lineRule="exact"/>
        <w:ind w:firstLine="480" w:firstLineChars="200"/>
        <w:rPr>
          <w:rFonts w:hAnsi="宋体" w:eastAsia="宋体"/>
          <w:color w:val="auto"/>
          <w:kern w:val="2"/>
          <w:szCs w:val="20"/>
          <w:highlight w:val="none"/>
        </w:rPr>
      </w:pPr>
      <w:r>
        <w:rPr>
          <w:rFonts w:hint="eastAsia" w:hAnsi="宋体" w:eastAsia="宋体"/>
          <w:color w:val="auto"/>
          <w:kern w:val="2"/>
          <w:szCs w:val="20"/>
          <w:highlight w:val="none"/>
        </w:rPr>
        <w:t>（3）由乙方自行负责。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500" w:lineRule="exact"/>
        <w:ind w:firstLine="480" w:firstLineChars="200"/>
        <w:rPr>
          <w:rFonts w:hAnsi="宋体" w:cs="宋体"/>
          <w:color w:val="auto"/>
          <w:sz w:val="24"/>
          <w:szCs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2"/>
        <w:spacing w:line="500" w:lineRule="exact"/>
        <w:rPr>
          <w:rFonts w:hAnsi="宋体" w:cs="宋体"/>
          <w:b/>
          <w:bCs/>
          <w:color w:val="auto"/>
          <w:sz w:val="24"/>
          <w:szCs w:val="24"/>
          <w:highlight w:val="none"/>
        </w:rPr>
      </w:pPr>
      <w:r>
        <w:rPr>
          <w:rFonts w:hAnsi="宋体" w:cs="宋体"/>
          <w:color w:val="auto"/>
          <w:sz w:val="24"/>
          <w:szCs w:val="24"/>
          <w:highlight w:val="none"/>
        </w:rPr>
        <w:t xml:space="preserve">    </w:t>
      </w:r>
      <w:r>
        <w:rPr>
          <w:rFonts w:hint="eastAsia" w:hAnsi="宋体" w:cs="宋体"/>
          <w:b/>
          <w:bCs/>
          <w:color w:val="auto"/>
          <w:sz w:val="24"/>
          <w:szCs w:val="24"/>
          <w:highlight w:val="none"/>
        </w:rPr>
        <w:t>第七条</w:t>
      </w:r>
      <w:r>
        <w:rPr>
          <w:rFonts w:hAnsi="宋体" w:cs="宋体"/>
          <w:b/>
          <w:bCs/>
          <w:color w:val="auto"/>
          <w:sz w:val="24"/>
          <w:szCs w:val="24"/>
          <w:highlight w:val="none"/>
        </w:rPr>
        <w:t xml:space="preserve"> </w:t>
      </w:r>
      <w:r>
        <w:rPr>
          <w:rFonts w:hint="eastAsia" w:hAnsi="宋体" w:cs="宋体"/>
          <w:b/>
          <w:bCs/>
          <w:color w:val="auto"/>
          <w:sz w:val="24"/>
          <w:szCs w:val="24"/>
          <w:highlight w:val="none"/>
        </w:rPr>
        <w:t>材料及设备供应</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7.1采购供应的材料、其名称、品种、型号、规格、质量等，均应符合国家、地方及行业有关规范及要求。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spacing w:line="5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第八条</w:t>
      </w:r>
      <w:r>
        <w:rPr>
          <w:rFonts w:ascii="宋体" w:hAnsi="宋体" w:cs="宋体"/>
          <w:b/>
          <w:bCs/>
          <w:color w:val="auto"/>
          <w:sz w:val="24"/>
          <w:highlight w:val="none"/>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500" w:lineRule="exact"/>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t>□</w:t>
      </w:r>
      <w:r>
        <w:rPr>
          <w:rFonts w:hint="eastAsia" w:ascii="Segoe UI Symbol" w:hAnsi="Segoe UI Symbol" w:cs="Segoe UI Symbol"/>
          <w:bCs/>
          <w:color w:val="auto"/>
          <w:sz w:val="24"/>
          <w:highlight w:val="none"/>
        </w:rPr>
        <w:t>有</w:t>
      </w:r>
      <w:r>
        <w:rPr>
          <w:rFonts w:hint="eastAsia" w:ascii="Segoe UI Symbol" w:hAnsi="Segoe UI Symbol" w:cs="Segoe UI Symbol"/>
          <w:b/>
          <w:color w:val="auto"/>
          <w:sz w:val="24"/>
          <w:highlight w:val="none"/>
        </w:rPr>
        <w:t xml:space="preserve"> </w:t>
      </w:r>
      <w:r>
        <w:rPr>
          <w:rFonts w:hint="eastAsia" w:ascii="宋体" w:hAnsi="宋体" w:cs="宋体"/>
          <w:bCs/>
          <w:color w:val="auto"/>
          <w:sz w:val="24"/>
          <w:highlight w:val="none"/>
        </w:rPr>
        <w:t>合同签订后，乙方开具等额的增值税专用发票及提交履约担保担保（如有）</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ascii="宋体" w:hAnsi="宋体" w:cs="宋体"/>
          <w:bCs/>
          <w:color w:val="auto"/>
          <w:sz w:val="24"/>
          <w:highlight w:val="none"/>
          <w:u w:val="single"/>
        </w:rPr>
        <w:t>30%</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spacing w:line="384" w:lineRule="auto"/>
        <w:ind w:firstLine="480" w:firstLineChars="200"/>
        <w:rPr>
          <w:rFonts w:hint="eastAsia" w:hAnsi="宋体" w:cs="宋体"/>
          <w:color w:val="auto"/>
          <w:sz w:val="24"/>
          <w:szCs w:val="24"/>
          <w:highlight w:val="none"/>
          <w:u w:val="single"/>
        </w:rPr>
      </w:pPr>
      <w:r>
        <w:rPr>
          <w:rFonts w:hAnsi="宋体" w:cs="宋体"/>
          <w:color w:val="auto"/>
          <w:sz w:val="24"/>
          <w:szCs w:val="24"/>
          <w:highlight w:val="none"/>
        </w:rPr>
        <w:t>8.2</w:t>
      </w:r>
      <w:r>
        <w:rPr>
          <w:rFonts w:hint="eastAsia" w:hAnsi="宋体" w:cs="宋体"/>
          <w:color w:val="auto"/>
          <w:sz w:val="24"/>
          <w:szCs w:val="24"/>
          <w:highlight w:val="none"/>
        </w:rPr>
        <w:t xml:space="preserve">项目验收合格后，由乙方提交申请支付资料 </w:t>
      </w:r>
      <w:r>
        <w:rPr>
          <w:rFonts w:hint="eastAsia" w:hAnsi="宋体" w:cs="宋体"/>
          <w:color w:val="auto"/>
          <w:sz w:val="24"/>
          <w:szCs w:val="24"/>
          <w:highlight w:val="none"/>
          <w:u w:val="single"/>
          <w:lang w:val="en-US" w:eastAsia="zh-CN"/>
        </w:rPr>
        <w:t>30</w:t>
      </w:r>
      <w:r>
        <w:rPr>
          <w:rFonts w:hint="eastAsia" w:hAnsi="宋体" w:cs="宋体"/>
          <w:color w:val="auto"/>
          <w:sz w:val="24"/>
          <w:szCs w:val="24"/>
          <w:highlight w:val="none"/>
        </w:rPr>
        <w:t>个工作日内，甲方支付至合同暂定总价的</w:t>
      </w:r>
      <w:r>
        <w:rPr>
          <w:rFonts w:hint="eastAsia" w:hAnsi="宋体" w:cs="宋体"/>
          <w:color w:val="auto"/>
          <w:sz w:val="24"/>
          <w:szCs w:val="24"/>
          <w:highlight w:val="none"/>
          <w:u w:val="single"/>
          <w:lang w:val="en-US" w:eastAsia="zh-CN"/>
        </w:rPr>
        <w:t>80%</w:t>
      </w:r>
      <w:r>
        <w:rPr>
          <w:rFonts w:hint="eastAsia" w:hAnsi="宋体" w:cs="宋体"/>
          <w:color w:val="auto"/>
          <w:sz w:val="24"/>
          <w:szCs w:val="24"/>
          <w:highlight w:val="none"/>
          <w:u w:val="single"/>
        </w:rPr>
        <w:t>给乙方。</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项目验收合同后，经甲方或甲方委托有资质第三方机构审核后，由乙方提交申请支付资料</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rPr>
        <w:t>个工作日内，甲方支付至合同结算价的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Ansi="宋体" w:cs="宋体"/>
          <w:color w:val="auto"/>
          <w:sz w:val="24"/>
          <w:highlight w:val="none"/>
          <w:u w:val="single"/>
        </w:rPr>
        <w:t xml:space="preserve"> </w:t>
      </w:r>
      <w:r>
        <w:rPr>
          <w:rFonts w:hint="eastAsia" w:hAnsi="宋体" w:cs="宋体"/>
          <w:color w:val="auto"/>
          <w:sz w:val="24"/>
          <w:highlight w:val="none"/>
          <w:u w:val="single"/>
          <w:lang w:val="en-US" w:eastAsia="zh-CN"/>
        </w:rPr>
        <w:t>30</w:t>
      </w:r>
      <w:r>
        <w:rPr>
          <w:rFonts w:hAnsi="宋体" w:cs="宋体"/>
          <w:color w:val="auto"/>
          <w:sz w:val="24"/>
          <w:highlight w:val="none"/>
          <w:u w:val="single"/>
        </w:rPr>
        <w:t xml:space="preserve"> </w:t>
      </w:r>
      <w:r>
        <w:rPr>
          <w:rFonts w:hint="eastAsia" w:hAnsi="宋体" w:cs="宋体"/>
          <w:color w:val="auto"/>
          <w:sz w:val="24"/>
          <w:highlight w:val="none"/>
        </w:rPr>
        <w:t>个工作日内，甲方支付合同结算价的</w:t>
      </w:r>
      <w:r>
        <w:rPr>
          <w:rFonts w:hAnsi="宋体" w:cs="宋体"/>
          <w:color w:val="auto"/>
          <w:sz w:val="24"/>
          <w:highlight w:val="none"/>
        </w:rPr>
        <w:t>5</w:t>
      </w:r>
      <w:r>
        <w:rPr>
          <w:rFonts w:hint="eastAsia" w:hAnsi="宋体" w:cs="宋体"/>
          <w:color w:val="auto"/>
          <w:sz w:val="24"/>
          <w:highlight w:val="none"/>
        </w:rPr>
        <w:t>％（质保金）给乙方（无息）。</w:t>
      </w:r>
    </w:p>
    <w:p>
      <w:pPr>
        <w:pStyle w:val="12"/>
        <w:spacing w:line="500" w:lineRule="exact"/>
        <w:ind w:firstLine="480" w:firstLineChars="200"/>
        <w:outlineLvl w:val="1"/>
        <w:rPr>
          <w:rFonts w:hint="eastAsia" w:hAnsi="宋体" w:cs="宋体"/>
          <w:color w:val="auto"/>
          <w:sz w:val="24"/>
          <w:szCs w:val="20"/>
          <w:highlight w:val="none"/>
        </w:rPr>
      </w:pPr>
      <w:r>
        <w:rPr>
          <w:rFonts w:ascii="宋体" w:hAnsi="宋体" w:cs="宋体"/>
          <w:color w:val="auto"/>
          <w:sz w:val="24"/>
          <w:highlight w:val="none"/>
        </w:rPr>
        <w:t>8.2.</w:t>
      </w:r>
      <w:r>
        <w:rPr>
          <w:rFonts w:hint="eastAsia" w:ascii="宋体" w:hAnsi="宋体" w:cs="宋体"/>
          <w:color w:val="auto"/>
          <w:sz w:val="24"/>
          <w:highlight w:val="none"/>
        </w:rPr>
        <w:t>3</w:t>
      </w:r>
      <w:r>
        <w:rPr>
          <w:rFonts w:hint="eastAsia" w:hAnsi="宋体" w:cs="宋体"/>
          <w:color w:val="auto"/>
          <w:sz w:val="24"/>
          <w:highlight w:val="none"/>
        </w:rPr>
        <w:t>本项目工程款的支付单位为：</w:t>
      </w:r>
      <w:r>
        <w:rPr>
          <w:rFonts w:hint="eastAsia" w:hAnsi="宋体" w:cs="宋体"/>
          <w:color w:val="auto"/>
          <w:sz w:val="24"/>
          <w:szCs w:val="24"/>
          <w:highlight w:val="none"/>
          <w:u w:val="single"/>
          <w:lang w:val="en-US" w:eastAsia="zh-CN"/>
        </w:rPr>
        <w:t xml:space="preserve">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名称：广州市净水有限公司</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税号：</w:t>
      </w:r>
      <w:r>
        <w:rPr>
          <w:rFonts w:ascii="宋体" w:hAnsi="宋体" w:cs="宋体"/>
          <w:color w:val="auto"/>
          <w:sz w:val="24"/>
          <w:highlight w:val="none"/>
          <w:u w:val="single"/>
        </w:rPr>
        <w:t>91440101755584729Q</w:t>
      </w:r>
    </w:p>
    <w:p>
      <w:pPr>
        <w:spacing w:line="500" w:lineRule="exact"/>
        <w:ind w:firstLine="960" w:firstLineChars="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地址及电话：</w:t>
      </w:r>
      <w:r>
        <w:rPr>
          <w:rFonts w:hint="eastAsia" w:asciiTheme="minorEastAsia" w:hAnsiTheme="minorEastAsia" w:eastAsiaTheme="minorEastAsia" w:cstheme="minorEastAsia"/>
          <w:color w:val="auto"/>
          <w:sz w:val="24"/>
          <w:highlight w:val="none"/>
          <w:u w:val="single"/>
        </w:rPr>
        <w:t>广州市天河区临江大道501号 020-38890283</w:t>
      </w:r>
      <w:r>
        <w:rPr>
          <w:rFonts w:hint="eastAsia" w:asciiTheme="minorEastAsia" w:hAnsiTheme="minorEastAsia" w:eastAsiaTheme="minorEastAsia" w:cstheme="minorEastAsia"/>
          <w:color w:val="auto"/>
          <w:sz w:val="24"/>
          <w:highlight w:val="none"/>
        </w:rPr>
        <w:t>；</w:t>
      </w:r>
    </w:p>
    <w:p>
      <w:pPr>
        <w:spacing w:line="500" w:lineRule="exact"/>
        <w:ind w:firstLine="960" w:firstLineChars="4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开户行/账号：</w:t>
      </w:r>
      <w:r>
        <w:rPr>
          <w:rFonts w:hint="eastAsia" w:asciiTheme="minorEastAsia" w:hAnsiTheme="minorEastAsia" w:eastAsiaTheme="minorEastAsia" w:cstheme="minorEastAsia"/>
          <w:color w:val="auto"/>
          <w:sz w:val="24"/>
          <w:highlight w:val="none"/>
          <w:u w:val="single"/>
        </w:rPr>
        <w:t>民生银行广州分行0301014140006932</w:t>
      </w:r>
      <w:r>
        <w:rPr>
          <w:rFonts w:hint="eastAsia" w:asciiTheme="minorEastAsia" w:hAnsiTheme="minorEastAsia" w:eastAsiaTheme="minorEastAsia" w:cstheme="minorEastAsia"/>
          <w:color w:val="auto"/>
          <w:sz w:val="24"/>
          <w:highlight w:val="none"/>
        </w:rPr>
        <w:t>。</w:t>
      </w:r>
      <w:r>
        <w:rPr>
          <w:rFonts w:ascii="宋体" w:hAnsi="宋体" w:cs="宋体"/>
          <w:color w:val="auto"/>
          <w:sz w:val="24"/>
          <w:highlight w:val="none"/>
        </w:rPr>
        <w:t xml:space="preserve">                            </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ascii="宋体" w:hAnsi="宋体" w:cs="宋体"/>
          <w:b/>
          <w:color w:val="auto"/>
          <w:sz w:val="24"/>
          <w:highlight w:val="none"/>
        </w:rPr>
        <w:sym w:font="Wingdings" w:char="00A8"/>
      </w:r>
      <w:r>
        <w:rPr>
          <w:rFonts w:hint="eastAsia" w:ascii="宋体" w:hAnsi="宋体" w:cs="宋体"/>
          <w:color w:val="auto"/>
          <w:sz w:val="24"/>
          <w:highlight w:val="none"/>
        </w:rPr>
        <w:t>有 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1"/>
        <w:spacing w:before="0" w:beforeAutospacing="0" w:after="0" w:afterAutospacing="0" w:line="500" w:lineRule="exact"/>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1"/>
        <w:spacing w:before="0" w:beforeAutospacing="0" w:after="0" w:afterAutospacing="0" w:line="500" w:lineRule="exact"/>
        <w:ind w:firstLine="480"/>
        <w:rPr>
          <w:color w:val="auto"/>
          <w:highlight w:val="none"/>
        </w:rPr>
      </w:pPr>
      <w:r>
        <w:rPr>
          <w:rFonts w:hint="eastAsia"/>
          <w:color w:val="auto"/>
          <w:highlight w:val="none"/>
        </w:rPr>
        <w:t>（1）符合甲方要求（详见附件保函格式）的银行独立保函，</w:t>
      </w:r>
    </w:p>
    <w:p>
      <w:pPr>
        <w:pStyle w:val="21"/>
        <w:spacing w:before="0" w:beforeAutospacing="0" w:after="0" w:afterAutospacing="0" w:line="500" w:lineRule="exact"/>
        <w:ind w:firstLine="480"/>
        <w:rPr>
          <w:color w:val="auto"/>
          <w:highlight w:val="none"/>
        </w:rPr>
      </w:pPr>
      <w:r>
        <w:rPr>
          <w:rFonts w:hint="eastAsia"/>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（2）履约银行保函在合同履行完成后，由乙方提出申请，甲方在28日内返还，不支付利息。</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（3）延长担保期限。乙方以履约银行保函形式提交履约保证金的，在银行保函到期前，乙方应提前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1"/>
        <w:spacing w:before="0" w:beforeAutospacing="0" w:after="0" w:afterAutospacing="0" w:line="500" w:lineRule="exact"/>
        <w:ind w:left="199" w:leftChars="95" w:firstLine="360"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w:t>
      </w:r>
      <w:r>
        <w:rPr>
          <w:rFonts w:hint="eastAsia" w:cs="宋体"/>
          <w:color w:val="auto"/>
          <w:highlight w:val="none"/>
        </w:rPr>
        <w:t>日内将剩余保证金（无息）返还。</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rPr>
        <w:t xml:space="preserve"> 7</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highlight w:val="none"/>
          <w:u w:val="single"/>
          <w:bdr w:val="single" w:color="auto" w:sz="4" w:space="0"/>
        </w:rPr>
      </w:pPr>
      <w:r>
        <w:rPr>
          <w:rFonts w:ascii="宋体" w:hAnsi="宋体" w:cs="宋体"/>
          <w:color w:val="auto"/>
          <w:sz w:val="24"/>
          <w:highlight w:val="none"/>
        </w:rPr>
        <w:t>8.6</w:t>
      </w:r>
      <w:r>
        <w:rPr>
          <w:rFonts w:hint="eastAsia" w:ascii="宋体" w:hAnsi="宋体" w:cs="宋体"/>
          <w:color w:val="auto"/>
          <w:sz w:val="24"/>
          <w:highlight w:val="none"/>
        </w:rPr>
        <w:t>付款方式：</w:t>
      </w:r>
      <w:r>
        <w:rPr>
          <w:rFonts w:hint="eastAsia" w:asciiTheme="minorEastAsia" w:hAnsiTheme="minorEastAsia" w:eastAsiaTheme="minorEastAsia" w:cstheme="minorEastAsia"/>
          <w:color w:val="auto"/>
          <w:sz w:val="24"/>
          <w:highlight w:val="none"/>
        </w:rPr>
        <w:t xml:space="preserve"> </w:t>
      </w:r>
      <w:r>
        <w:rPr>
          <w:rFonts w:ascii="Segoe UI Symbol" w:hAnsi="Segoe UI Symbol" w:cs="Segoe UI Symbol" w:eastAsiaTheme="minorEastAsia"/>
          <w:b/>
          <w:bCs/>
          <w:color w:val="auto"/>
          <w:sz w:val="24"/>
          <w:highlight w:val="none"/>
        </w:rPr>
        <w:t>☑</w:t>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stheme="minorEastAsia"/>
          <w:bCs/>
          <w:color w:val="auto"/>
          <w:sz w:val="24"/>
          <w:highlight w:val="none"/>
          <w:u w:val="single"/>
          <w:bdr w:val="single" w:color="auto" w:sz="4" w:space="0"/>
        </w:rPr>
        <w:t xml:space="preserve"> </w:t>
      </w:r>
    </w:p>
    <w:p>
      <w:pPr>
        <w:pStyle w:val="12"/>
        <w:spacing w:line="500" w:lineRule="exact"/>
        <w:ind w:firstLine="482" w:firstLineChars="200"/>
        <w:outlineLvl w:val="1"/>
        <w:rPr>
          <w:rFonts w:hAnsi="宋体" w:cs="宋体"/>
          <w:b/>
          <w:bCs/>
          <w:color w:val="auto"/>
          <w:sz w:val="24"/>
          <w:highlight w:val="none"/>
        </w:rPr>
      </w:pPr>
      <w:r>
        <w:rPr>
          <w:rFonts w:hint="eastAsia" w:hAnsi="宋体" w:cs="宋体"/>
          <w:b/>
          <w:bCs/>
          <w:color w:val="auto"/>
          <w:sz w:val="24"/>
          <w:highlight w:val="none"/>
        </w:rPr>
        <w:t>第九条</w:t>
      </w:r>
      <w:r>
        <w:rPr>
          <w:rFonts w:hAnsi="宋体" w:cs="宋体"/>
          <w:b/>
          <w:bCs/>
          <w:color w:val="auto"/>
          <w:sz w:val="24"/>
          <w:highlight w:val="none"/>
        </w:rPr>
        <w:t xml:space="preserve"> </w:t>
      </w:r>
      <w:r>
        <w:rPr>
          <w:rFonts w:hint="eastAsia" w:hAnsi="宋体" w:cs="宋体"/>
          <w:b/>
          <w:bCs/>
          <w:color w:val="auto"/>
          <w:sz w:val="24"/>
          <w:highlight w:val="none"/>
        </w:rPr>
        <w:t>竣工验收</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乙方应在工程完工后30天内将经甲方审核的完整竣工资料（含竣工图）和竣工验收报告各</w:t>
      </w:r>
      <w:r>
        <w:rPr>
          <w:rFonts w:hint="eastAsia" w:ascii="宋体" w:hAnsi="宋体" w:cs="宋体"/>
          <w:color w:val="auto"/>
          <w:sz w:val="24"/>
          <w:highlight w:val="none"/>
          <w:u w:val="single"/>
        </w:rPr>
        <w:t>一式肆份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500" w:lineRule="exact"/>
        <w:ind w:firstLine="480"/>
        <w:rPr>
          <w:rFonts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2"/>
        <w:spacing w:line="500" w:lineRule="exact"/>
        <w:ind w:firstLine="480" w:firstLineChars="200"/>
        <w:outlineLvl w:val="1"/>
        <w:rPr>
          <w:rFonts w:hint="eastAsia" w:hAnsi="宋体" w:cs="宋体"/>
          <w:color w:val="auto"/>
          <w:sz w:val="24"/>
          <w:szCs w:val="20"/>
          <w:highlight w:val="none"/>
        </w:rPr>
      </w:pPr>
      <w:r>
        <w:rPr>
          <w:rFonts w:hint="eastAsia" w:asciiTheme="minorEastAsia" w:hAnsiTheme="minorEastAsia" w:eastAsiaTheme="minorEastAsia" w:cstheme="minorEastAsia"/>
          <w:color w:val="auto"/>
          <w:sz w:val="24"/>
          <w:highlight w:val="none"/>
        </w:rPr>
        <w:t>9.5本合同竣工验收结算单位为：</w:t>
      </w:r>
      <w:r>
        <w:rPr>
          <w:rFonts w:hint="eastAsia" w:hAnsi="宋体" w:cs="宋体"/>
          <w:color w:val="auto"/>
          <w:sz w:val="24"/>
          <w:szCs w:val="24"/>
          <w:highlight w:val="none"/>
          <w:u w:val="single"/>
          <w:lang w:val="en-US" w:eastAsia="zh-CN"/>
        </w:rPr>
        <w:t xml:space="preserve"> 项目所属各分公司 </w:t>
      </w:r>
    </w:p>
    <w:p>
      <w:pPr>
        <w:numPr>
          <w:ilvl w:val="0"/>
          <w:numId w:val="6"/>
        </w:numPr>
        <w:spacing w:before="120" w:after="156" w:afterLines="50"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p>
    <w:p>
      <w:pPr>
        <w:spacing w:line="500" w:lineRule="exact"/>
        <w:ind w:firstLine="420" w:firstLineChars="175"/>
        <w:rPr>
          <w:rFonts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合同暂定总价的10%/次</w:t>
      </w:r>
      <w:r>
        <w:rPr>
          <w:rFonts w:hint="eastAsia" w:ascii="宋体" w:hAnsi="宋体" w:cs="宋体"/>
          <w:bCs/>
          <w:color w:val="auto"/>
          <w:sz w:val="24"/>
          <w:highlight w:val="none"/>
        </w:rPr>
        <w:t>作为违约金。</w:t>
      </w:r>
    </w:p>
    <w:p>
      <w:pPr>
        <w:spacing w:before="156" w:beforeLines="50" w:after="156" w:afterLines="50" w:line="500" w:lineRule="exact"/>
        <w:ind w:firstLine="422" w:firstLineChars="175"/>
        <w:jc w:val="left"/>
        <w:rPr>
          <w:rFonts w:ascii="宋体" w:hAnsi="宋体" w:cs="宋体"/>
          <w:color w:val="auto"/>
          <w:sz w:val="24"/>
          <w:highlight w:val="none"/>
        </w:rPr>
      </w:pPr>
      <w:r>
        <w:rPr>
          <w:rFonts w:hint="eastAsia" w:ascii="宋体" w:hAnsi="宋体" w:cs="宋体"/>
          <w:b/>
          <w:bCs/>
          <w:color w:val="auto"/>
          <w:sz w:val="24"/>
          <w:highlight w:val="none"/>
        </w:rPr>
        <w:t>第十一条</w:t>
      </w:r>
      <w:r>
        <w:rPr>
          <w:rFonts w:ascii="宋体" w:hAnsi="宋体" w:cs="宋体"/>
          <w:b/>
          <w:bCs/>
          <w:color w:val="auto"/>
          <w:sz w:val="24"/>
          <w:highlight w:val="none"/>
        </w:rPr>
        <w:t xml:space="preserve"> </w:t>
      </w:r>
      <w:r>
        <w:rPr>
          <w:rFonts w:hint="eastAsia" w:ascii="宋体" w:hAnsi="宋体" w:cs="宋体"/>
          <w:b/>
          <w:bCs/>
          <w:color w:val="auto"/>
          <w:sz w:val="24"/>
          <w:highlight w:val="none"/>
        </w:rPr>
        <w:t>不可抗力</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十二条</w:t>
      </w:r>
      <w:r>
        <w:rPr>
          <w:rFonts w:ascii="宋体" w:hAnsi="宋体" w:cs="宋体"/>
          <w:b/>
          <w:bCs/>
          <w:color w:val="auto"/>
          <w:sz w:val="24"/>
          <w:highlight w:val="none"/>
        </w:rPr>
        <w:t xml:space="preserve"> </w:t>
      </w:r>
      <w:r>
        <w:rPr>
          <w:rFonts w:hint="eastAsia" w:ascii="宋体" w:hAnsi="宋体" w:cs="宋体"/>
          <w:b/>
          <w:bCs/>
          <w:color w:val="auto"/>
          <w:sz w:val="24"/>
          <w:highlight w:val="none"/>
        </w:rPr>
        <w:t>争议解决</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line="500" w:lineRule="exact"/>
        <w:ind w:firstLine="482"/>
        <w:jc w:val="left"/>
        <w:rPr>
          <w:rFonts w:ascii="宋体" w:hAnsi="宋体" w:cs="宋体"/>
          <w:b/>
          <w:bCs/>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p>
    <w:p>
      <w:pPr>
        <w:spacing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合同生效及其他</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伍</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份，其中：甲方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壹</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附件：1.中标通知书/发包通知书/</w:t>
      </w:r>
      <w:r>
        <w:rPr>
          <w:rFonts w:hint="eastAsia" w:ascii="宋体" w:hAnsi="宋体" w:eastAsia="宋体" w:cs="宋体"/>
          <w:color w:val="auto"/>
          <w:sz w:val="24"/>
          <w:szCs w:val="24"/>
          <w:highlight w:val="none"/>
          <w:lang w:val="en-US" w:eastAsia="zh-CN"/>
        </w:rPr>
        <w:t>成交通知书/</w:t>
      </w:r>
      <w:r>
        <w:rPr>
          <w:rFonts w:hint="eastAsia" w:ascii="宋体" w:hAnsi="宋体" w:eastAsia="宋体" w:cs="宋体"/>
          <w:color w:val="auto"/>
          <w:sz w:val="24"/>
          <w:szCs w:val="24"/>
          <w:highlight w:val="none"/>
        </w:rPr>
        <w:t>委托函；（如有）</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2.工程质量保修书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3.廉洁协议</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4.施工安全协议书（具体以安全办通知为准）</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5.安全生产承诺书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6.投入工程人员架构表</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不诚信行为的情形及相应被暂停参与投标活动的处理标准</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.工程量报价单/工程量清单</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.履约保函（模板）</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.授权委托证明（如需）</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甲方：广州市净水有限公司（盖章）         乙方：（盖章）</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法人代表：                               法人代表：</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                                   地址：</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                             委托代理人：</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经办人：                                 经办人：</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                               联系电话：</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                                   传真：</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签署日期：    年    月    日     签署日期：    年    月    日</w:t>
      </w:r>
    </w:p>
    <w:p>
      <w:pPr>
        <w:pStyle w:val="22"/>
        <w:rPr>
          <w:rFonts w:hint="eastAsia"/>
          <w:color w:val="auto"/>
          <w:highlight w:val="none"/>
        </w:rPr>
      </w:pPr>
    </w:p>
    <w:p>
      <w:pPr>
        <w:rPr>
          <w:rFonts w:hint="eastAsia" w:ascii="宋体" w:hAnsi="宋体"/>
          <w:b/>
          <w:color w:val="auto"/>
          <w:sz w:val="24"/>
          <w:highlight w:val="none"/>
        </w:rPr>
      </w:pPr>
      <w:r>
        <w:rPr>
          <w:rFonts w:hint="eastAsia" w:ascii="宋体" w:hAnsi="宋体"/>
          <w:b/>
          <w:color w:val="auto"/>
          <w:sz w:val="24"/>
          <w:highlight w:val="none"/>
        </w:rPr>
        <w:br w:type="page"/>
      </w:r>
    </w:p>
    <w:p>
      <w:pPr>
        <w:spacing w:before="156" w:beforeLines="50" w:line="580" w:lineRule="exact"/>
        <w:outlineLvl w:val="1"/>
        <w:rPr>
          <w:color w:val="auto"/>
          <w:highlight w:val="none"/>
        </w:rPr>
      </w:pPr>
      <w:r>
        <w:rPr>
          <w:rFonts w:hint="eastAsia" w:ascii="宋体" w:hAnsi="宋体"/>
          <w:b/>
          <w:color w:val="auto"/>
          <w:sz w:val="24"/>
          <w:highlight w:val="none"/>
        </w:rPr>
        <w:t>附件2：</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center"/>
        <w:textAlignment w:val="auto"/>
        <w:rPr>
          <w:rFonts w:hint="eastAsia" w:ascii="宋体" w:hAnsi="宋体" w:eastAsia="宋体" w:cs="宋体"/>
          <w:color w:val="auto"/>
          <w:kern w:val="0"/>
          <w:sz w:val="24"/>
          <w:highlight w:val="none"/>
        </w:rPr>
      </w:pPr>
      <w:r>
        <w:rPr>
          <w:rFonts w:hint="eastAsia" w:ascii="宋体" w:hAnsi="宋体" w:eastAsia="宋体" w:cs="宋体"/>
          <w:b/>
          <w:bCs/>
          <w:color w:val="auto"/>
          <w:kern w:val="0"/>
          <w:sz w:val="24"/>
          <w:highlight w:val="none"/>
        </w:rPr>
        <w:t>工程质量保修书</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承包人（甲方）：广州市净水有限公司</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发包人（乙方）： </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在合理使用期限内正常使用，甲方、乙方协商一致签订工程质量保修书。乙方在质量保修期内按照有关管理规定及双方约定承担工程质量保修责任。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一、工程质量保修范围和内容</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质量保修范围双方约定如下：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即乙方施工的工程范围。</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质量保修期从工程实际竣工之日算起。分单项竣工验收的工程，按单项工程分别计算质量保修期。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双方根据国家有关规定，结合具体工程约定本工程的质量保修期如下：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1、土建工程为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年，屋面防水工程为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2、电气管线、上下水管线安装工程为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3、供热及供冷为为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个采暖期及供冷期； </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4、室外的上下水和小区道路等市政公用工程为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5、其他约定：</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壹年</w:t>
      </w:r>
      <w:r>
        <w:rPr>
          <w:rFonts w:hint="eastAsia" w:ascii="宋体" w:hAnsi="宋体" w:eastAsia="宋体" w:cs="宋体"/>
          <w:color w:val="auto"/>
          <w:kern w:val="0"/>
          <w:sz w:val="24"/>
          <w:szCs w:val="24"/>
          <w:highlight w:val="none"/>
          <w:u w:val="single"/>
        </w:rPr>
        <w:t xml:space="preserve"> .</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三、质量保修责任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1、属于保修范围、内容的项目，乙方应当在接到保修通知之日起48小时内派人修理。乙方不在约定期限内派人修理，甲方可以委托其他人员修理，保修费用从质量保修金内扣除。</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2、发生紧急抢修事故的（如上水跑水、暖气漏水漏气、燃气漏气等），乙方在接到事故通知后，应当立即到达事故现场抢修。非乙方施工质量引起的事故，抢修费用由甲方承担。</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3、在国家规定的工程合理使用期限内，乙方确保地基基础工程和主体结构的质量。因乙方原因致使工程在合理使用期限内造成人身和财产损害的，乙方应承担损害赔偿责任。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四、质量保修金的支付</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工程质量保修金一般不超过施工合同价款的</w:t>
      </w:r>
      <w:r>
        <w:rPr>
          <w:rFonts w:hint="eastAsia" w:ascii="宋体" w:hAnsi="宋体" w:eastAsia="宋体" w:cs="宋体"/>
          <w:color w:val="auto"/>
          <w:kern w:val="0"/>
          <w:sz w:val="24"/>
          <w:szCs w:val="24"/>
          <w:highlight w:val="none"/>
          <w:u w:val="single"/>
        </w:rPr>
        <w:t xml:space="preserve"> / </w:t>
      </w:r>
      <w:r>
        <w:rPr>
          <w:rFonts w:hint="eastAsia" w:ascii="宋体" w:hAnsi="宋体" w:eastAsia="宋体" w:cs="宋体"/>
          <w:color w:val="auto"/>
          <w:kern w:val="0"/>
          <w:sz w:val="24"/>
          <w:szCs w:val="24"/>
          <w:highlight w:val="none"/>
        </w:rPr>
        <w:t>％，本工程约定的工程质量保修金为合同暂定总价/合同结算审定价的</w:t>
      </w:r>
      <w:r>
        <w:rPr>
          <w:rFonts w:hint="eastAsia" w:ascii="宋体" w:hAnsi="宋体" w:eastAsia="宋体" w:cs="宋体"/>
          <w:b/>
          <w:bCs/>
          <w:color w:val="auto"/>
          <w:kern w:val="0"/>
          <w:sz w:val="24"/>
          <w:szCs w:val="24"/>
          <w:highlight w:val="none"/>
          <w:u w:val="single"/>
        </w:rPr>
        <w:t xml:space="preserve">  3%   </w:t>
      </w:r>
      <w:r>
        <w:rPr>
          <w:rFonts w:hint="eastAsia" w:ascii="宋体" w:hAnsi="宋体" w:eastAsia="宋体" w:cs="宋体"/>
          <w:color w:val="auto"/>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本工程双方约定乙方向甲方支付工程质量保修金金额</w:t>
      </w:r>
      <w:r>
        <w:rPr>
          <w:rFonts w:hint="eastAsia" w:ascii="宋体" w:hAnsi="宋体" w:eastAsia="宋体" w:cs="宋体"/>
          <w:color w:val="auto"/>
          <w:kern w:val="0"/>
          <w:sz w:val="24"/>
          <w:szCs w:val="24"/>
          <w:highlight w:val="none"/>
          <w:u w:val="single"/>
        </w:rPr>
        <w:t>详见（合同名称+合同编号）</w:t>
      </w:r>
      <w:r>
        <w:rPr>
          <w:rFonts w:hint="eastAsia" w:ascii="宋体" w:hAnsi="宋体" w:eastAsia="宋体" w:cs="宋体"/>
          <w:color w:val="auto"/>
          <w:kern w:val="0"/>
          <w:sz w:val="24"/>
          <w:szCs w:val="24"/>
          <w:highlight w:val="none"/>
        </w:rPr>
        <w:t>。质量保修金银行利率为</w:t>
      </w:r>
      <w:r>
        <w:rPr>
          <w:rFonts w:hint="eastAsia" w:ascii="宋体" w:hAnsi="宋体" w:eastAsia="宋体" w:cs="宋体"/>
          <w:color w:val="auto"/>
          <w:kern w:val="0"/>
          <w:sz w:val="24"/>
          <w:szCs w:val="24"/>
          <w:highlight w:val="none"/>
          <w:u w:val="single"/>
        </w:rPr>
        <w:t xml:space="preserve"> 零 </w:t>
      </w:r>
      <w:r>
        <w:rPr>
          <w:rFonts w:hint="eastAsia" w:ascii="宋体" w:hAnsi="宋体" w:eastAsia="宋体" w:cs="宋体"/>
          <w:color w:val="auto"/>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五、其他</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双方约定的其他质量保修事项：</w:t>
      </w:r>
      <w:r>
        <w:rPr>
          <w:rFonts w:hint="eastAsia" w:ascii="宋体" w:hAnsi="宋体" w:eastAsia="宋体" w:cs="宋体"/>
          <w:color w:val="auto"/>
          <w:kern w:val="0"/>
          <w:sz w:val="24"/>
          <w:szCs w:val="24"/>
          <w:highlight w:val="none"/>
          <w:u w:val="single"/>
        </w:rPr>
        <w:t xml:space="preserve">  / </w:t>
      </w:r>
      <w:r>
        <w:rPr>
          <w:rFonts w:hint="eastAsia" w:ascii="宋体" w:hAnsi="宋体" w:eastAsia="宋体" w:cs="宋体"/>
          <w:color w:val="auto"/>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本工程质量保修书作为施工合同附件，由甲方、乙方双方共同签署。</w:t>
      </w:r>
    </w:p>
    <w:p>
      <w:pPr>
        <w:keepNext w:val="0"/>
        <w:keepLines w:val="0"/>
        <w:pageBreakBefore w:val="0"/>
        <w:kinsoku/>
        <w:wordWrap/>
        <w:overflowPunct/>
        <w:topLinePunct w:val="0"/>
        <w:autoSpaceDE w:val="0"/>
        <w:autoSpaceDN w:val="0"/>
        <w:bidi w:val="0"/>
        <w:adjustRightInd w:val="0"/>
        <w:spacing w:before="100" w:after="100" w:line="500" w:lineRule="exact"/>
        <w:ind w:left="6698" w:leftChars="104" w:right="360" w:hanging="6480" w:hangingChars="27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甲方（甲方）：                      乙方（乙方）:</w:t>
      </w:r>
    </w:p>
    <w:p>
      <w:pPr>
        <w:keepNext w:val="0"/>
        <w:keepLines w:val="0"/>
        <w:pageBreakBefore w:val="0"/>
        <w:kinsoku/>
        <w:wordWrap/>
        <w:overflowPunct/>
        <w:topLinePunct w:val="0"/>
        <w:autoSpaceDE w:val="0"/>
        <w:autoSpaceDN w:val="0"/>
        <w:bidi w:val="0"/>
        <w:adjustRightInd w:val="0"/>
        <w:spacing w:before="100" w:after="100" w:line="500" w:lineRule="exact"/>
        <w:ind w:right="36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广州市净水有限公司                    </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（盖章）                           （盖章）</w:t>
      </w:r>
    </w:p>
    <w:p>
      <w:pPr>
        <w:keepNext w:val="0"/>
        <w:keepLines w:val="0"/>
        <w:pageBreakBefore w:val="0"/>
        <w:kinsoku/>
        <w:wordWrap/>
        <w:overflowPunct/>
        <w:topLinePunct w:val="0"/>
        <w:autoSpaceDE w:val="0"/>
        <w:autoSpaceDN w:val="0"/>
        <w:bidi w:val="0"/>
        <w:adjustRightInd w:val="0"/>
        <w:spacing w:line="500" w:lineRule="exact"/>
        <w:ind w:left="360" w:right="-17" w:rightChars="-8"/>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经办人：                             经办人：</w:t>
      </w:r>
    </w:p>
    <w:p>
      <w:pPr>
        <w:keepNext w:val="0"/>
        <w:keepLines w:val="0"/>
        <w:pageBreakBefore w:val="0"/>
        <w:kinsoku/>
        <w:wordWrap/>
        <w:overflowPunct/>
        <w:topLinePunct w:val="0"/>
        <w:autoSpaceDE w:val="0"/>
        <w:autoSpaceDN w:val="0"/>
        <w:bidi w:val="0"/>
        <w:adjustRightInd w:val="0"/>
        <w:spacing w:line="500" w:lineRule="exact"/>
        <w:ind w:left="360" w:right="-15" w:rightChars="-7"/>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  话：                             电   话：</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t xml:space="preserve">   签订日期：      年   月   日         签订日期：      年   月   日</w:t>
      </w: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附件3：</w:t>
      </w:r>
    </w:p>
    <w:p>
      <w:pPr>
        <w:keepNext w:val="0"/>
        <w:keepLines w:val="0"/>
        <w:pageBreakBefore w:val="0"/>
        <w:kinsoku/>
        <w:wordWrap/>
        <w:overflowPunct/>
        <w:topLinePunct w:val="0"/>
        <w:autoSpaceDE/>
        <w:autoSpaceDN/>
        <w:bidi w:val="0"/>
        <w:snapToGrid/>
        <w:spacing w:beforeAutospacing="0" w:line="520" w:lineRule="exact"/>
        <w:jc w:val="center"/>
        <w:rPr>
          <w:rFonts w:hint="eastAsia" w:ascii="仿宋_GB2312" w:hAnsi="仿宋_GB2312" w:eastAsia="仿宋_GB2312" w:cs="仿宋_GB2312"/>
          <w:b w:val="0"/>
          <w:bCs/>
          <w:color w:val="auto"/>
          <w:sz w:val="28"/>
          <w:szCs w:val="28"/>
          <w:highlight w:val="none"/>
        </w:rPr>
      </w:pPr>
      <w:r>
        <w:rPr>
          <w:rFonts w:hint="eastAsia" w:ascii="宋体" w:hAnsi="宋体" w:eastAsia="宋体" w:cs="宋体"/>
          <w:b/>
          <w:color w:val="auto"/>
          <w:highlight w:val="none"/>
        </w:rPr>
        <w:t xml:space="preserve">         </w:t>
      </w: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beforeAutospacing="0"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beforeAutospacing="0"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5"/>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1"/>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1"/>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1"/>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1"/>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1"/>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beforeAutospacing="0"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（合同名称）+（合同编号）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lang w:eastAsia="zh-CN"/>
        </w:rPr>
      </w:pP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pStyle w:val="35"/>
        <w:keepNext w:val="0"/>
        <w:keepLines w:val="0"/>
        <w:pageBreakBefore w:val="0"/>
        <w:tabs>
          <w:tab w:val="left" w:pos="5100"/>
        </w:tabs>
        <w:kinsoku/>
        <w:wordWrap/>
        <w:overflowPunct/>
        <w:topLinePunct w:val="0"/>
        <w:autoSpaceDE/>
        <w:autoSpaceDN/>
        <w:bidi w:val="0"/>
        <w:snapToGrid/>
        <w:spacing w:beforeAutospacing="0"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beforeAutospacing="0"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附件4：                                                     </w:t>
      </w: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Cs/>
          <w:color w:val="auto"/>
          <w:kern w:val="0"/>
          <w:sz w:val="44"/>
          <w:szCs w:val="44"/>
          <w:highlight w:val="none"/>
        </w:rPr>
      </w:pPr>
      <w:r>
        <w:rPr>
          <w:rFonts w:hint="eastAsia" w:ascii="宋体" w:hAnsi="宋体" w:eastAsia="宋体" w:cs="宋体"/>
          <w:bCs/>
          <w:color w:val="auto"/>
          <w:kern w:val="0"/>
          <w:sz w:val="44"/>
          <w:szCs w:val="44"/>
          <w:highlight w:val="none"/>
        </w:rPr>
        <w:t>施工安全协议书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kern w:val="0"/>
          <w:sz w:val="24"/>
          <w:szCs w:val="24"/>
          <w:highlight w:val="none"/>
        </w:rPr>
      </w:pPr>
      <w:bookmarkStart w:id="86" w:name="_Toc21391"/>
      <w:r>
        <w:rPr>
          <w:rFonts w:hint="eastAsia" w:ascii="宋体" w:hAnsi="宋体" w:eastAsia="宋体" w:cs="宋体"/>
          <w:color w:val="auto"/>
          <w:kern w:val="0"/>
          <w:sz w:val="24"/>
          <w:szCs w:val="24"/>
          <w:highlight w:val="none"/>
        </w:rPr>
        <w:t>甲方：</w:t>
      </w:r>
      <w:r>
        <w:rPr>
          <w:rFonts w:hint="eastAsia" w:ascii="宋体" w:hAnsi="宋体" w:eastAsia="宋体" w:cs="宋体"/>
          <w:color w:val="auto"/>
          <w:sz w:val="24"/>
          <w:szCs w:val="24"/>
          <w:highlight w:val="none"/>
        </w:rPr>
        <w:t>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乙方： </w:t>
      </w:r>
    </w:p>
    <w:p>
      <w:pPr>
        <w:keepNext w:val="0"/>
        <w:keepLines w:val="0"/>
        <w:pageBreakBefore w:val="0"/>
        <w:kinsoku/>
        <w:wordWrap/>
        <w:overflowPunct/>
        <w:topLinePunct w:val="0"/>
        <w:bidi w:val="0"/>
        <w:adjustRightInd w:val="0"/>
        <w:snapToGrid w:val="0"/>
        <w:spacing w:line="500" w:lineRule="exact"/>
        <w:jc w:val="left"/>
        <w:textAlignment w:val="auto"/>
        <w:rPr>
          <w:rStyle w:val="26"/>
          <w:rFonts w:hint="eastAsia" w:ascii="宋体" w:hAnsi="宋体" w:eastAsia="宋体" w:cs="宋体"/>
          <w:b w:val="0"/>
          <w:color w:val="auto"/>
          <w:sz w:val="24"/>
          <w:szCs w:val="24"/>
          <w:highlight w:val="none"/>
          <w:u w:val="single"/>
        </w:rPr>
      </w:pPr>
    </w:p>
    <w:bookmarkEnd w:id="86"/>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一、本协议与主合同的关系</w:t>
      </w:r>
    </w:p>
    <w:p>
      <w:pPr>
        <w:keepNext w:val="0"/>
        <w:keepLines w:val="0"/>
        <w:pageBreakBefore w:val="0"/>
        <w:kinsoku/>
        <w:wordWrap/>
        <w:overflowPunct/>
        <w:topLinePunct w:val="0"/>
        <w:bidi w:val="0"/>
        <w:adjustRightInd w:val="0"/>
        <w:snapToGrid w:val="0"/>
        <w:spacing w:line="500" w:lineRule="exact"/>
        <w:ind w:left="105"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本协议作为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的组成部分，与主合同具有同等法律。</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二、双方的责任、权利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应当向施工单位提供施工现场及毗邻区域内供水、排水、供电、供气、供热、通信、广播电视等地下管线资料，气象和水文观测资料，相邻建筑物和构筑物、地下工程的有关资料，并保证资料的真实、准确、完整。</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2.不得对勘察、设计、施工、工程监理等单位提出不符合建设工程安全生产法律、法规和强制性标准规定的要求。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3.检查乙方安全措施的投入。对实际发生安全投入的费用予以支付，对无实际在现场进行安全投入的，予以扣除。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4.不得明示或者暗示施工单位购买、租赁、使用不符合安全施工要求的安全防护用具、机械设备、施工机具及配件、消防设施和器材。</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5.在甲方生产营运场所内施工的，必须告知乙方该场所可能存在的安全风险，要求乙方在施工前应重新识别现场的安全风险并采取措施进行管控。</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（二）甲方的权利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1.按照《广州净水公司工程项目安全管理标准》（以下简称《标准》）等办法对乙方进行施工安全管理考核评比。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2.对于乙方考核评比较差，或不服从甲方管理，违反安全生产管理规定等违约行为的，甲方有权对乙方采取以下一种或以上的方式处理：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（1）经济处罚；</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（2）诚信扣分；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（3）限制投标，或经其他单位承包后以分包方参与项目实施；</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（4）将其承揽的项目安排第三方单位进行实施，由此产生的费用及造成的损失在该项目工程费用或履约保证金中扣除；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（5）向行业协会（包括但不限于广东省市政行业协会、广州市市政行业协会等）反映。</w:t>
      </w:r>
    </w:p>
    <w:p>
      <w:pPr>
        <w:keepNext w:val="0"/>
        <w:keepLines w:val="0"/>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3.乙方对存在问题拒不整改的，或存在安全费用弄虚作假情况的，视为违约，甲方有权对乙方进行违约金扣罚。如乙方拒不缴纳违约金的，甲方有权在履约保证金中扣除。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（三）乙方的责任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1.乙方向甲方承诺，已建立完善的安全管理体系并有效运转，必须严格执行国家、地方和行业主管部门关于施工的强制性标准、地方行政法规、管理要求。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乙方必须依法为施工现场从事危险作业的人员办理意外伤害保险、购买安全生产责任保险。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2.乙方施工安全措施费单列，实报实销。严禁虚报未进行实际安全投入的费用。</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3.乙方必须严格按照甲方制定的《标准》要求，落实各项安全管理工作。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乙方应根据当前国家、行业或甲方近期安全管理的突出方面，或针对项目实际，有针对性地开展安全管理工作，接受甲方的安全管理评比。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乙方必须配合甲方的安全监督检查，并承诺立即组织对提出的问题隐患进行整改。</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4.乙方必须提供本项目全体人员已通过三级安全教育及职业健康体检的证明。</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抽查具体材料时能如实提供备。做好人员职业健康体检，确保全员没有职业病。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禁止有职业禁忌证的人员从事禁忌证相关工作。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乙方该项目的管理人员、作业人员（包括分包人员）每年至少由乙方单位进行一次安全生产教育培训，并保存好相关培训证明备查。</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5.乙方必须建立应急管理体系，编制应急预案和现场处置方案，并定期组织开展应急演练。施工现场，乙方应根据施工方案在施工现场配置应急救援物资，并做好应急救援物资的定期检查，确保完好、有效。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6.乙方发生突发事件时，应按甲方制度要求立即报甲方，并同时积极主动地开展应急救援，采取有效措施将事故影响控制在最小范围内。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7.乙方必须严格履行本协议，遵守甲方各项管理规定，服从管理。乙方对存在问题拒不整改的，视为违约，甲方有权对乙方进行违约金扣罚。如乙方拒不缴纳违约金的，甲方有权在履约保证金中扣除。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（四）乙方的权利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1.对甲方的违章指挥，拒绝执行，但需书面明确指出甲方所违反的具体法律法规、标准规范等。</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2.对甲方明示或者暗示乙方购买、租赁、使用不符合安全施工要求的安全防护用具、机械设备、施工机具及配件、消防设施和器材的，拒绝执行。</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三、事故责任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1.在乙方承包范围内，由于乙方责任发生生产安全事故时，造成的甲方、乙方或者第三方人身伤害事故，乙方负全部责任。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2.乙方人员在非承包区域遭受意外伤害的，乙方负全部责任。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3.乙方人员违规进入甲方或第三方承包区域，造成事故的，乙方负全部事故责任；乙方人员遭受人身伤害的，乙方负全部责任。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4.同一生产区域内有两家及以上承包单位的，发生生产安全事故，侵害方负全部责任；共同责任造成的，按事故原因划分责任，不能达成一致的，根据政府有关部门的责任划分承担相应的事故责任和经济责任。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5.乙方在甲方生产区域内发生生产安全事故后，必须在第一时间向甲方报告，迟报或者隐瞒不报生产安全事故，承担事故的全部责任。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6.乙方各类人员在甲方生产区域内发生人身伤害事故和其他事故，由乙方负责调查、处理和统计上报，并报甲方安全监督部门备案。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7.本协议未尽事宜，依据有关法规。规章处理，法规、规章没有明确规定的，经双方协商处理解决。</w:t>
      </w:r>
    </w:p>
    <w:p>
      <w:pPr>
        <w:pStyle w:val="38"/>
        <w:keepNext w:val="0"/>
        <w:keepLines w:val="0"/>
        <w:pageBreakBefore w:val="0"/>
        <w:kinsoku/>
        <w:wordWrap/>
        <w:overflowPunct/>
        <w:topLinePunct w:val="0"/>
        <w:bidi w:val="0"/>
        <w:spacing w:line="50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四、补充条款：</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五、附则</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本协议与主合同同时签订、同时终止、同时生效，具有相同的法律效力，自甲方、乙方双方签字、盖章生效，甲方、乙方双方执持数量与主合同一致。</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500" w:lineRule="exact"/>
        <w:ind w:left="5490" w:leftChars="100" w:hanging="5280" w:hangingChars="2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 xml:space="preserve">　             乙方： </w:t>
      </w:r>
    </w:p>
    <w:p>
      <w:pPr>
        <w:keepNext w:val="0"/>
        <w:keepLines w:val="0"/>
        <w:pageBreakBefore w:val="0"/>
        <w:kinsoku/>
        <w:wordWrap/>
        <w:overflowPunct/>
        <w:topLinePunct w:val="0"/>
        <w:bidi w:val="0"/>
        <w:adjustRightInd w:val="0"/>
        <w:snapToGrid w:val="0"/>
        <w:spacing w:line="500" w:lineRule="exact"/>
        <w:ind w:left="1290" w:leftChars="100" w:hanging="1080" w:hangingChars="4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负责人（签名）：                              负责人（签名）：</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 xml:space="preserve">    　       地址： </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                            　　     电话：</w:t>
      </w:r>
    </w:p>
    <w:p>
      <w:pPr>
        <w:keepNext w:val="0"/>
        <w:keepLines w:val="0"/>
        <w:pageBreakBefore w:val="0"/>
        <w:widowControl/>
        <w:kinsoku/>
        <w:wordWrap/>
        <w:overflowPunct/>
        <w:topLinePunct w:val="0"/>
        <w:bidi w:val="0"/>
        <w:spacing w:line="500" w:lineRule="exact"/>
        <w:ind w:firstLine="1560" w:firstLineChars="65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 xml:space="preserve">                年   月    日</w:t>
      </w:r>
    </w:p>
    <w:p>
      <w:pPr>
        <w:keepNext w:val="0"/>
        <w:keepLines w:val="0"/>
        <w:pageBreakBefore w:val="0"/>
        <w:kinsoku/>
        <w:wordWrap/>
        <w:overflowPunct/>
        <w:topLinePunct w:val="0"/>
        <w:bidi w:val="0"/>
        <w:adjustRightInd w:val="0"/>
        <w:snapToGrid w:val="0"/>
        <w:spacing w:line="500" w:lineRule="exact"/>
        <w:ind w:left="1320" w:hanging="1320" w:hangingChars="5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rPr>
          <w:rFonts w:hint="eastAsia" w:ascii="宋体" w:hAnsi="宋体" w:eastAsia="宋体" w:cs="宋体"/>
          <w:b/>
          <w:color w:val="auto"/>
          <w:sz w:val="24"/>
          <w:highlight w:val="none"/>
        </w:rPr>
      </w:pPr>
      <w:r>
        <w:rPr>
          <w:rFonts w:hint="eastAsia" w:ascii="宋体" w:hAnsi="宋体" w:eastAsia="宋体" w:cs="宋体"/>
          <w:b/>
          <w:color w:val="auto"/>
          <w:sz w:val="24"/>
          <w:szCs w:val="24"/>
          <w:highlight w:val="none"/>
        </w:rPr>
        <w:br w:type="page"/>
      </w:r>
      <w:r>
        <w:rPr>
          <w:rFonts w:hint="eastAsia" w:ascii="宋体" w:hAnsi="宋体" w:eastAsia="宋体" w:cs="宋体"/>
          <w:b/>
          <w:color w:val="auto"/>
          <w:sz w:val="24"/>
          <w:highlight w:val="none"/>
        </w:rPr>
        <w:t>附件5：</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安全生产承诺书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为确保我公司承包的</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color w:val="auto"/>
          <w:sz w:val="24"/>
          <w:szCs w:val="24"/>
          <w:highlight w:val="none"/>
        </w:rPr>
        <w:t>项目在施工期间的施工安全，特郑重承诺如下：</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一、认真组织施工人员、管理人员学习有关施工安全的知识，争取做到人人懂安全，事事保安全。</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二、严格执行安全施工的有关规定和规程，文明施工，安全施工。</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三、切实履行施工安全协议书规定的各项安全管理职责。</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保证严格依据国家、相关行业有关规定和施工承包合同的要求安全施工，安全生产目标为：不发生安全事故。我方保证切实执行与贵公司签订的施工安全协议书，如发生安全生产责任事故导致人员重伤累计2人次或死亡1人的，从认定为安全事故责任之日起，我方自动放弃在你方项目中 1年的投标资格；重伤累计3人次及以上或死亡2人及以上的，从认定为安全事故责任之日起，我方自动放弃在你方项目中3年的投标资格。</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tabs>
          <w:tab w:val="left" w:pos="2352"/>
        </w:tabs>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p>
    <w:p>
      <w:pPr>
        <w:keepNext w:val="0"/>
        <w:keepLines w:val="0"/>
        <w:pageBreakBefore w:val="0"/>
        <w:tabs>
          <w:tab w:val="left" w:pos="2224"/>
          <w:tab w:val="left" w:pos="7152"/>
        </w:tabs>
        <w:kinsoku/>
        <w:wordWrap/>
        <w:overflowPunct/>
        <w:topLinePunct w:val="0"/>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施工单位：（盖章）</w:t>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500" w:lineRule="exact"/>
        <w:ind w:firstLine="4440" w:firstLineChars="18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pPr>
        <w:keepNext w:val="0"/>
        <w:keepLines w:val="0"/>
        <w:pageBreakBefore w:val="0"/>
        <w:widowControl w:val="0"/>
        <w:kinsoku/>
        <w:wordWrap/>
        <w:overflowPunct/>
        <w:bidi w:val="0"/>
        <w:spacing w:line="500" w:lineRule="exact"/>
        <w:ind w:firstLine="0" w:firstLineChars="0"/>
        <w:rPr>
          <w:rFonts w:hint="eastAsia" w:ascii="宋体" w:hAnsi="宋体" w:eastAsia="宋体" w:cs="宋体"/>
          <w:b/>
          <w:bCs/>
          <w:color w:val="auto"/>
          <w:sz w:val="24"/>
          <w:szCs w:val="24"/>
          <w:highlight w:val="none"/>
          <w:lang w:val="en-US" w:eastAsia="zh-CN"/>
        </w:rPr>
      </w:pPr>
    </w:p>
    <w:p>
      <w:pPr>
        <w:keepNext w:val="0"/>
        <w:keepLines w:val="0"/>
        <w:pageBreakBefore w:val="0"/>
        <w:widowControl w:val="0"/>
        <w:kinsoku/>
        <w:wordWrap/>
        <w:overflowPunct/>
        <w:bidi w:val="0"/>
        <w:spacing w:line="500" w:lineRule="exact"/>
        <w:ind w:firstLine="0" w:firstLineChars="0"/>
        <w:rPr>
          <w:rFonts w:hint="eastAsia" w:ascii="宋体" w:hAnsi="宋体" w:eastAsia="宋体" w:cs="宋体"/>
          <w:b/>
          <w:bCs/>
          <w:color w:val="auto"/>
          <w:sz w:val="24"/>
          <w:szCs w:val="24"/>
          <w:highlight w:val="none"/>
          <w:lang w:val="en-US" w:eastAsia="zh-CN"/>
        </w:rPr>
      </w:pPr>
    </w:p>
    <w:p>
      <w:pPr>
        <w:keepNext w:val="0"/>
        <w:keepLines w:val="0"/>
        <w:pageBreakBefore w:val="0"/>
        <w:widowControl w:val="0"/>
        <w:kinsoku/>
        <w:wordWrap/>
        <w:overflowPunct/>
        <w:bidi w:val="0"/>
        <w:spacing w:line="500" w:lineRule="exact"/>
        <w:ind w:firstLine="0" w:firstLineChars="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附件</w:t>
      </w:r>
      <w:r>
        <w:rPr>
          <w:rFonts w:hint="eastAsia" w:ascii="宋体" w:hAnsi="宋体" w:eastAsia="宋体" w:cs="宋体"/>
          <w:b/>
          <w:bCs/>
          <w:color w:val="auto"/>
          <w:sz w:val="24"/>
          <w:szCs w:val="24"/>
          <w:highlight w:val="none"/>
        </w:rPr>
        <w:t>6.投入工程人员架构表</w:t>
      </w:r>
    </w:p>
    <w:tbl>
      <w:tblPr>
        <w:tblStyle w:val="23"/>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color w:val="auto"/>
          <w:sz w:val="24"/>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b/>
          <w:bCs/>
          <w:color w:val="auto"/>
          <w:szCs w:val="21"/>
          <w:highlight w:val="none"/>
        </w:rPr>
      </w:pPr>
    </w:p>
    <w:p>
      <w:pPr>
        <w:pStyle w:val="29"/>
        <w:rPr>
          <w:rFonts w:hint="eastAsia" w:ascii="宋体" w:hAnsi="宋体" w:cs="宋体"/>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7</w:t>
      </w:r>
      <w:r>
        <w:rPr>
          <w:rFonts w:hint="eastAsia" w:ascii="宋体" w:hAnsi="宋体" w:cs="宋体"/>
          <w:b/>
          <w:bCs/>
          <w:color w:val="auto"/>
          <w:szCs w:val="21"/>
          <w:highlight w:val="none"/>
        </w:rPr>
        <w:t>：</w:t>
      </w:r>
    </w:p>
    <w:p>
      <w:pPr>
        <w:adjustRightInd w:val="0"/>
        <w:snapToGrid w:val="0"/>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不诚信行为的情形及相应被暂停参与投标活动的处理标准</w:t>
      </w:r>
    </w:p>
    <w:tbl>
      <w:tblPr>
        <w:tblStyle w:val="23"/>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处理</w:t>
            </w:r>
          </w:p>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（一）建设生产现场发生人员</w:t>
            </w:r>
            <w:r>
              <w:rPr>
                <w:rFonts w:hint="eastAsia" w:ascii="宋体" w:hAnsi="宋体" w:eastAsia="宋体" w:cs="宋体"/>
                <w:color w:val="auto"/>
                <w:sz w:val="21"/>
                <w:szCs w:val="21"/>
                <w:highlight w:val="none"/>
                <w:lang w:eastAsia="zh-CN"/>
              </w:rPr>
              <w:t>重伤或</w:t>
            </w:r>
            <w:r>
              <w:rPr>
                <w:rFonts w:hint="eastAsia" w:ascii="宋体" w:hAnsi="宋体" w:eastAsia="宋体" w:cs="宋体"/>
                <w:color w:val="auto"/>
                <w:sz w:val="21"/>
                <w:szCs w:val="21"/>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发生</w:t>
            </w:r>
            <w:r>
              <w:rPr>
                <w:rFonts w:hint="eastAsia" w:ascii="宋体" w:hAnsi="宋体" w:eastAsia="宋体" w:cs="宋体"/>
                <w:color w:val="auto"/>
                <w:sz w:val="21"/>
                <w:szCs w:val="21"/>
                <w:highlight w:val="none"/>
                <w:lang w:eastAsia="zh-CN"/>
              </w:rPr>
              <w:t>重伤或</w:t>
            </w:r>
            <w:r>
              <w:rPr>
                <w:rFonts w:hint="eastAsia" w:ascii="宋体" w:hAnsi="宋体" w:eastAsia="宋体" w:cs="宋体"/>
                <w:color w:val="auto"/>
                <w:sz w:val="21"/>
                <w:szCs w:val="21"/>
                <w:highlight w:val="none"/>
              </w:rPr>
              <w:t>死亡1～2人的，暂停投标1年至2年（含）。</w:t>
            </w:r>
          </w:p>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发生</w:t>
            </w:r>
            <w:r>
              <w:rPr>
                <w:rFonts w:hint="eastAsia" w:ascii="宋体" w:hAnsi="宋体" w:eastAsia="宋体" w:cs="宋体"/>
                <w:color w:val="auto"/>
                <w:sz w:val="21"/>
                <w:szCs w:val="21"/>
                <w:highlight w:val="none"/>
                <w:lang w:eastAsia="zh-CN"/>
              </w:rPr>
              <w:t>重伤或</w:t>
            </w:r>
            <w:r>
              <w:rPr>
                <w:rFonts w:hint="eastAsia" w:ascii="宋体" w:hAnsi="宋体" w:eastAsia="宋体" w:cs="宋体"/>
                <w:color w:val="auto"/>
                <w:sz w:val="21"/>
                <w:szCs w:val="21"/>
                <w:highlight w:val="none"/>
              </w:rPr>
              <w:t>死亡3～9人的，暂停投标2年以上至4年。</w:t>
            </w:r>
          </w:p>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发生</w:t>
            </w:r>
            <w:r>
              <w:rPr>
                <w:rFonts w:hint="eastAsia" w:ascii="宋体" w:hAnsi="宋体" w:eastAsia="宋体" w:cs="宋体"/>
                <w:color w:val="auto"/>
                <w:sz w:val="21"/>
                <w:szCs w:val="21"/>
                <w:highlight w:val="none"/>
                <w:lang w:val="en-US" w:eastAsia="zh-CN"/>
              </w:rPr>
              <w:t>重伤10人以上（含）、或</w:t>
            </w:r>
            <w:r>
              <w:rPr>
                <w:rFonts w:hint="eastAsia" w:ascii="宋体" w:hAnsi="宋体" w:eastAsia="宋体" w:cs="宋体"/>
                <w:color w:val="auto"/>
                <w:sz w:val="21"/>
                <w:szCs w:val="21"/>
                <w:highlight w:val="none"/>
              </w:rPr>
              <w:t>重大及以上事故的，暂停投标4年或以上</w:t>
            </w:r>
            <w:r>
              <w:rPr>
                <w:rFonts w:hint="eastAsia" w:ascii="宋体" w:hAnsi="宋体" w:eastAsia="宋体" w:cs="宋体"/>
                <w:color w:val="auto"/>
                <w:sz w:val="21"/>
                <w:szCs w:val="21"/>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宋体" w:hAnsi="宋体" w:eastAsia="宋体" w:cs="宋体"/>
                <w:color w:val="auto"/>
                <w:sz w:val="21"/>
                <w:szCs w:val="21"/>
                <w:highlight w:val="none"/>
                <w:lang w:eastAsia="zh-CN"/>
              </w:rPr>
              <w:t>大面积运营晚点，</w:t>
            </w:r>
            <w:r>
              <w:rPr>
                <w:rFonts w:hint="eastAsia" w:ascii="宋体" w:hAnsi="宋体" w:eastAsia="宋体" w:cs="宋体"/>
                <w:color w:val="auto"/>
                <w:sz w:val="21"/>
                <w:szCs w:val="21"/>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w:t>
            </w:r>
            <w:r>
              <w:rPr>
                <w:rFonts w:hint="eastAsia" w:ascii="宋体" w:hAnsi="宋体" w:eastAsia="宋体" w:cs="宋体"/>
                <w:color w:val="auto"/>
                <w:sz w:val="21"/>
                <w:szCs w:val="21"/>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暂停投标</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rPr>
              <w:t>。若至下一个自然年度项目尚未完结，仍出现该款情形的，继续暂停投标</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其他不诚信</w:t>
            </w:r>
          </w:p>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eastAsia="宋体" w:cs="宋体"/>
                <w:color w:val="auto"/>
                <w:sz w:val="21"/>
                <w:szCs w:val="21"/>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w:t>
            </w:r>
            <w:r>
              <w:rPr>
                <w:rFonts w:hint="eastAsia" w:ascii="宋体" w:hAnsi="宋体" w:eastAsia="宋体" w:cs="宋体"/>
                <w:color w:val="auto"/>
                <w:sz w:val="21"/>
                <w:szCs w:val="21"/>
                <w:highlight w:val="none"/>
                <w:lang w:val="en-US" w:eastAsia="zh-CN"/>
              </w:rPr>
              <w:t>经发包人认定的其他不诚信行为</w:t>
            </w:r>
            <w:r>
              <w:rPr>
                <w:rFonts w:hint="eastAsia" w:ascii="宋体" w:hAnsi="宋体" w:eastAsia="宋体" w:cs="宋体"/>
                <w:color w:val="auto"/>
                <w:sz w:val="21"/>
                <w:szCs w:val="21"/>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宋体" w:hAnsi="宋体" w:eastAsia="宋体" w:cs="宋体"/>
                <w:color w:val="auto"/>
                <w:sz w:val="21"/>
                <w:szCs w:val="21"/>
                <w:highlight w:val="none"/>
              </w:rPr>
            </w:pPr>
          </w:p>
        </w:tc>
      </w:tr>
    </w:tbl>
    <w:tbl>
      <w:tblPr>
        <w:tblStyle w:val="23"/>
        <w:tblpPr w:leftFromText="180" w:rightFromText="180" w:vertAnchor="text" w:horzAnchor="page" w:tblpX="1463" w:tblpY="596"/>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附件2-1</w:t>
            </w:r>
          </w:p>
        </w:tc>
        <w:tc>
          <w:tcPr>
            <w:tcW w:w="0" w:type="auto"/>
            <w:tcBorders>
              <w:top w:val="nil"/>
              <w:left w:val="nil"/>
              <w:bottom w:val="nil"/>
              <w:right w:val="nil"/>
            </w:tcBorders>
            <w:shd w:val="clear" w:color="auto" w:fill="auto"/>
            <w:noWrap/>
            <w:tcMar>
              <w:top w:w="12" w:type="dxa"/>
              <w:left w:w="12" w:type="dxa"/>
              <w:right w:w="12" w:type="dxa"/>
            </w:tcMar>
            <w:vAlign w:val="center"/>
          </w:tcPr>
          <w:p>
            <w:pPr>
              <w:jc w:val="left"/>
              <w:rPr>
                <w:rFonts w:hint="eastAsia" w:ascii="等线" w:hAnsi="等线" w:eastAsia="等线" w:cs="等线"/>
                <w:i w:val="0"/>
                <w:color w:val="auto"/>
                <w:sz w:val="16"/>
                <w:szCs w:val="16"/>
                <w:highlight w:val="none"/>
                <w:u w:val="none"/>
              </w:rPr>
            </w:pPr>
          </w:p>
        </w:tc>
        <w:tc>
          <w:tcPr>
            <w:tcW w:w="0" w:type="auto"/>
            <w:tcBorders>
              <w:top w:val="nil"/>
              <w:left w:val="nil"/>
              <w:bottom w:val="nil"/>
              <w:right w:val="nil"/>
            </w:tcBorders>
            <w:shd w:val="clear" w:color="auto" w:fill="auto"/>
            <w:noWrap/>
            <w:tcMar>
              <w:top w:w="12" w:type="dxa"/>
              <w:left w:w="12" w:type="dxa"/>
              <w:right w:w="12" w:type="dxa"/>
            </w:tcMar>
            <w:vAlign w:val="center"/>
          </w:tcPr>
          <w:p>
            <w:pPr>
              <w:rPr>
                <w:rFonts w:hint="eastAsia" w:ascii="等线" w:hAnsi="等线" w:eastAsia="等线" w:cs="等线"/>
                <w:i w:val="0"/>
                <w:color w:val="auto"/>
                <w:sz w:val="16"/>
                <w:szCs w:val="16"/>
                <w:highlight w:val="none"/>
                <w:u w:val="none"/>
              </w:rPr>
            </w:pPr>
          </w:p>
        </w:tc>
        <w:tc>
          <w:tcPr>
            <w:tcW w:w="0" w:type="auto"/>
            <w:tcBorders>
              <w:top w:val="nil"/>
              <w:left w:val="nil"/>
              <w:bottom w:val="nil"/>
              <w:right w:val="nil"/>
            </w:tcBorders>
            <w:shd w:val="clear" w:color="auto" w:fill="auto"/>
            <w:noWrap/>
            <w:tcMar>
              <w:top w:w="12" w:type="dxa"/>
              <w:left w:w="12" w:type="dxa"/>
              <w:right w:w="12" w:type="dxa"/>
            </w:tcMar>
            <w:vAlign w:val="center"/>
          </w:tcPr>
          <w:p>
            <w:pPr>
              <w:rPr>
                <w:rFonts w:hint="eastAsia" w:ascii="等线" w:hAnsi="等线" w:eastAsia="等线" w:cs="等线"/>
                <w:i w:val="0"/>
                <w:color w:val="auto"/>
                <w:sz w:val="16"/>
                <w:szCs w:val="16"/>
                <w:highlight w:val="none"/>
                <w:u w:val="none"/>
              </w:rPr>
            </w:pPr>
          </w:p>
        </w:tc>
        <w:tc>
          <w:tcPr>
            <w:tcW w:w="0" w:type="auto"/>
            <w:tcBorders>
              <w:top w:val="nil"/>
              <w:left w:val="nil"/>
              <w:bottom w:val="nil"/>
              <w:right w:val="nil"/>
            </w:tcBorders>
            <w:shd w:val="clear" w:color="auto" w:fill="auto"/>
            <w:noWrap/>
            <w:tcMar>
              <w:top w:w="12" w:type="dxa"/>
              <w:left w:w="12" w:type="dxa"/>
              <w:right w:w="12" w:type="dxa"/>
            </w:tcMar>
            <w:vAlign w:val="center"/>
          </w:tcPr>
          <w:p>
            <w:pPr>
              <w:rPr>
                <w:rFonts w:hint="eastAsia" w:ascii="等线" w:hAnsi="等线" w:eastAsia="等线" w:cs="等线"/>
                <w:i w:val="0"/>
                <w:color w:val="auto"/>
                <w:sz w:val="16"/>
                <w:szCs w:val="16"/>
                <w:highlight w:val="none"/>
                <w:u w:val="none"/>
              </w:rPr>
            </w:pPr>
          </w:p>
        </w:tc>
        <w:tc>
          <w:tcPr>
            <w:tcW w:w="0" w:type="auto"/>
            <w:tcBorders>
              <w:top w:val="nil"/>
              <w:left w:val="nil"/>
              <w:bottom w:val="nil"/>
              <w:right w:val="nil"/>
            </w:tcBorders>
            <w:shd w:val="clear" w:color="auto" w:fill="auto"/>
            <w:noWrap/>
            <w:tcMar>
              <w:top w:w="12" w:type="dxa"/>
              <w:left w:w="12" w:type="dxa"/>
              <w:right w:w="12" w:type="dxa"/>
            </w:tcMar>
            <w:vAlign w:val="center"/>
          </w:tcPr>
          <w:p>
            <w:pPr>
              <w:rPr>
                <w:rFonts w:hint="eastAsia" w:ascii="等线" w:hAnsi="等线" w:eastAsia="等线" w:cs="等线"/>
                <w:i w:val="0"/>
                <w:color w:val="auto"/>
                <w:sz w:val="16"/>
                <w:szCs w:val="16"/>
                <w:highlight w:val="none"/>
                <w:u w:val="none"/>
              </w:rPr>
            </w:pPr>
          </w:p>
        </w:tc>
        <w:tc>
          <w:tcPr>
            <w:tcW w:w="0" w:type="auto"/>
            <w:tcBorders>
              <w:top w:val="nil"/>
              <w:left w:val="nil"/>
              <w:bottom w:val="nil"/>
              <w:right w:val="nil"/>
            </w:tcBorders>
            <w:shd w:val="clear" w:color="auto" w:fill="auto"/>
            <w:noWrap/>
            <w:tcMar>
              <w:top w:w="12" w:type="dxa"/>
              <w:left w:w="12" w:type="dxa"/>
              <w:right w:w="12" w:type="dxa"/>
            </w:tcMar>
            <w:vAlign w:val="center"/>
          </w:tcPr>
          <w:p>
            <w:pPr>
              <w:jc w:val="center"/>
              <w:rPr>
                <w:rFonts w:hint="eastAsia" w:ascii="等线" w:hAnsi="等线" w:eastAsia="等线" w:cs="等线"/>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i w:val="0"/>
                <w:color w:val="auto"/>
                <w:sz w:val="16"/>
                <w:szCs w:val="16"/>
                <w:highlight w:val="none"/>
                <w:u w:val="none"/>
              </w:rPr>
            </w:pPr>
            <w:r>
              <w:rPr>
                <w:rFonts w:hint="eastAsia" w:ascii="等线" w:hAnsi="等线" w:eastAsia="等线" w:cs="等线"/>
                <w:b/>
                <w:i w:val="0"/>
                <w:color w:val="auto"/>
                <w:kern w:val="0"/>
                <w:sz w:val="16"/>
                <w:szCs w:val="16"/>
                <w:highlight w:val="none"/>
                <w:u w:val="none"/>
                <w:lang w:val="en-US" w:eastAsia="zh-CN" w:bidi="ar"/>
              </w:rPr>
              <w:t>营运项目承包单位日常履约考评参照表（安全）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等线" w:hAnsi="等线" w:eastAsia="等线" w:cs="等线"/>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等线" w:hAnsi="等线" w:eastAsia="等线" w:cs="等线"/>
                <w:i w:val="0"/>
                <w:color w:val="auto"/>
                <w:sz w:val="16"/>
                <w:szCs w:val="16"/>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等线" w:hAnsi="等线" w:eastAsia="等线" w:cs="等线"/>
                <w:i w:val="0"/>
                <w:color w:val="auto"/>
                <w:sz w:val="16"/>
                <w:szCs w:val="16"/>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等线" w:hAnsi="等线" w:eastAsia="等线" w:cs="等线"/>
                <w:i w:val="0"/>
                <w:color w:val="auto"/>
                <w:sz w:val="16"/>
                <w:szCs w:val="16"/>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等线" w:hAnsi="等线" w:eastAsia="等线" w:cs="等线"/>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合同金额＜5万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5万≤合同金额＜30万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30万≤合同金额＜100万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合同金额≥100万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事故类型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按“四不放过”调查后处理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扣合同金额的30%～50%；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或1万～2万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扣合同金额的20%～30%；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或2万～4万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扣合同金额的10%～20%；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或4万～8万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扣合同金额的5%～10%;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或8万～12万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扣合同金额的20%～30%;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或5000～1万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扣合同金额的10%～20%；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或1万～2万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扣合同金额的5%～10%；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或2万～4万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扣合同金额的3%～5%；</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或4万～8万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扣合同金额的10%～20%；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或2000～3000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扣合同金额的5%～10%；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或5000～1万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扣合同金额的3%～5%；</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或1万～2万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扣合同金额的1%～2%；</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或2万～4万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事故处理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1.发生事故或事件隐瞒不报的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2.未在1小时内向业主单位上报事故的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3.拒绝、不配合事故事件调查的或事故事件调查提供虚假信息</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4.未按规定和程序组织事故调查和事故处理的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5.未及时处理导致事故扩大的</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扣合同金额的30%～50%；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或1万～2万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扣合同金额的20%～30%；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或2万～4万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扣合同金额的10%～20%；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或4万～8万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扣合同金额的5%～10%;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或8万～12万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一般资料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1.施工人员签名的安全交底表（交底内容由分公司编写），被交底人员应与人员花名册一致</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2.施工单位对施工人员的三级安全教育材料</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缺资料扣合同金额的5%或500；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缺资料扣合同金额的2%或2000；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缺资料扣合同金额的1%或4500；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缺资料扣合同金额的0.4%或8000；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资料有问题扣合同金额的0.2%或4000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施工方案</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4.施工方案，应满足合同要求，内容至少包括：</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施工点介绍</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施工内容（含作业流程、风险分析、施工工艺等）</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施工设备和材料（必要时含构件测试手段等）</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安全措施（根据工程特点、分公司的风险评估和施工单位的施工工艺制定）</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缺施工方案扣合同金额的6%或700；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缺施工方案扣合同金额的3%或3500；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缺施工方案扣合同金额的1.5%或5000；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缺施工方案扣合同金额的0.5%或1万；</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应急预案</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5.应急预案，内容至少包括：</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现场情况介绍</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风险评估</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应急架构（包括应急主管人员和安全员，以及各应急小组，落实到人和联系方式）</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应急流程</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各种风险情况下的应急措施（根据现场情况、分公司的风险评估制定）</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应急物资清单</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缺应急预案扣合同金额的6%或700；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缺应急预案扣合同金额的3%或3500；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缺应急预案扣合同金额的1.5%或5000；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缺应急预案扣合同金额的0.5%或1万；</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安全架构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6.安全架构和相应安全责任制（落实到人和联系方式），可编写入施工方案内，架构人员主要包括：</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安全责任人</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施工负责人（可与安全责任人为同一个人）</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安全员</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设备、物资管理人员</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缺安全架构扣合同金额的10%或2000；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缺安全架构扣合同金额的5%或5000；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缺安全架构扣合同金额的2%或1万；</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缺安全架构扣合同金额的1%或2万；</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缺少任何一类人员及其职责的扣合同金额的0.5%或1万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人员资质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7.施工人员花名册，人员应包含：</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施工负责人（需要施工管理人员资格证书）</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安全员（涉及动火、临时用电、有限空间、高空、抽堵盲板、吊装、动土、断路、设备检修等9大危险作业的，安全员需要有安全员证）</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特种作业人员（附证件号，同时要复印特种作业证，特种作业人数应满足合同要求）</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一般施工人员</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可能需要进入厂区的其他人员（如监理人员、资料员等）</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缺花名册扣合同金额的5%或500；</w:t>
            </w:r>
          </w:p>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缺特种作业人员或特种作业人员不满足合同要求，扣合同金额的5%或500；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缺花名册扣合同金额的2%或2000；</w:t>
            </w:r>
          </w:p>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缺特种作业人员或特种作业人员不满足合同要求，扣合同金额的2%或2000；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缺花名册扣合同金额的1%或4500；</w:t>
            </w:r>
          </w:p>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缺特种作业人员或特种作业人员不满足合同要求，扣合同金额的1%或4500；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缺花名册扣合同金额的0.4%或8000；</w:t>
            </w:r>
          </w:p>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缺特种作业人员或特种作业人员不满足合同要求，扣合同金额的0.4%或8000；</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其他人员或资料有缺漏扣合同金额的0.2%或4000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施工现场管理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现场面貌</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1.施工现场未开展有效围蔽</w:t>
            </w:r>
          </w:p>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2.无七牌一图或有缺漏（七牌：工程概况牌：管理人员名单及监督电话牌、现场事故应急救援预案公示牌、安全生产牌、文明施工牌、消防保卫牌、环境保护牌；一图：施工现场平面图）</w:t>
            </w:r>
          </w:p>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3.现场无危险源公示、告知及相应警示</w:t>
            </w:r>
          </w:p>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施工管理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1.现场未按施工方案落实安全防范措施的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2.危险作业未经业主人员审批先行施工的</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扣合同金额的1%或2万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每日安全交底</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1.缺少书面交底、未留存书面资料或交底资料缺少交底人、被交底人及安全员签字的</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作业行为管理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1.违反9大危险作业相关作业规范的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2.现场存在违章作业、违章指挥等违反相关安全管理规定或制度的</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安全记录</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应急管理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1.未设置应急物资点，未统一存放应急物资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2.应急物资点无应急物资清单或无应急物资每日检查表</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人员管理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隐患管理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扣合同金额的0.4%或8000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扣合同金额的3%～5%；</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或300～500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扣合同金额的1%～2%；</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或1000～2000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扣合同金额的0.5%～1%；</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或2500～4500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扣合同金额的0.3%～0.4%；</w:t>
            </w:r>
          </w:p>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或5000～8000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color w:val="auto"/>
                <w:sz w:val="13"/>
                <w:szCs w:val="13"/>
                <w:highlight w:val="none"/>
                <w:lang w:val="en-US" w:eastAsia="zh-CN"/>
              </w:rPr>
            </w:pPr>
            <w:r>
              <w:rPr>
                <w:rFonts w:hint="eastAsia"/>
                <w:color w:val="auto"/>
                <w:sz w:val="13"/>
                <w:szCs w:val="13"/>
                <w:highlight w:val="none"/>
                <w:lang w:val="en-US" w:eastAsia="zh-CN"/>
              </w:rPr>
              <w:t>注：1、与安全管理相关的考评内容具体考评标准内容参照广州市净水有限公司标准《工程项目安全管理规范》（Q/GZJSA 1-2021）执行。</w:t>
            </w:r>
          </w:p>
          <w:p>
            <w:pPr>
              <w:numPr>
                <w:ilvl w:val="0"/>
                <w:numId w:val="0"/>
              </w:numPr>
              <w:ind w:firstLine="0" w:firstLineChars="0"/>
              <w:contextualSpacing/>
              <w:jc w:val="left"/>
              <w:rPr>
                <w:rFonts w:hint="eastAsia" w:ascii="仿宋_GB2312" w:hAnsi="仿宋_GB2312" w:eastAsia="仿宋_GB2312" w:cs="仿宋_GB2312"/>
                <w:color w:val="auto"/>
                <w:sz w:val="13"/>
                <w:szCs w:val="13"/>
                <w:highlight w:val="none"/>
                <w:lang w:val="en-US" w:eastAsia="zh-CN"/>
              </w:rPr>
            </w:pPr>
            <w:r>
              <w:rPr>
                <w:rFonts w:hint="eastAsia" w:ascii="仿宋_GB2312" w:hAnsi="仿宋_GB2312" w:eastAsia="仿宋_GB2312" w:cs="仿宋_GB2312"/>
                <w:color w:val="auto"/>
                <w:sz w:val="13"/>
                <w:szCs w:val="13"/>
                <w:highlight w:val="none"/>
                <w:lang w:val="en-US" w:eastAsia="zh-CN"/>
              </w:rPr>
              <w:t>2.本处理标准出自</w:t>
            </w:r>
            <w:r>
              <w:rPr>
                <w:rFonts w:hint="eastAsia" w:ascii="仿宋_GB2312" w:hAnsi="仿宋_GB2312" w:eastAsia="仿宋_GB2312" w:cs="仿宋_GB2312"/>
                <w:color w:val="auto"/>
                <w:sz w:val="13"/>
                <w:szCs w:val="13"/>
                <w:highlight w:val="none"/>
              </w:rPr>
              <w:t>《</w:t>
            </w:r>
            <w:r>
              <w:rPr>
                <w:rFonts w:hint="eastAsia" w:ascii="宋体" w:hAnsi="宋体" w:eastAsia="宋体" w:cs="宋体"/>
                <w:color w:val="auto"/>
                <w:sz w:val="13"/>
                <w:szCs w:val="13"/>
                <w:highlight w:val="none"/>
                <w:lang w:eastAsia="zh-CN"/>
              </w:rPr>
              <w:t>广州净水公司工程项目承包单位质量安全考评细则（试行）</w:t>
            </w:r>
            <w:r>
              <w:rPr>
                <w:rFonts w:hint="eastAsia" w:ascii="仿宋_GB2312" w:hAnsi="仿宋_GB2312" w:eastAsia="仿宋_GB2312" w:cs="仿宋_GB2312"/>
                <w:color w:val="auto"/>
                <w:sz w:val="13"/>
                <w:szCs w:val="13"/>
                <w:highlight w:val="none"/>
              </w:rPr>
              <w:t>》</w:t>
            </w:r>
            <w:r>
              <w:rPr>
                <w:rFonts w:hint="eastAsia" w:ascii="仿宋_GB2312" w:hAnsi="仿宋_GB2312" w:eastAsia="仿宋_GB2312" w:cs="仿宋_GB2312"/>
                <w:color w:val="auto"/>
                <w:sz w:val="13"/>
                <w:szCs w:val="13"/>
                <w:highlight w:val="none"/>
                <w:lang w:eastAsia="zh-CN"/>
              </w:rPr>
              <w:t>。</w:t>
            </w:r>
          </w:p>
          <w:p>
            <w:pPr>
              <w:pStyle w:val="22"/>
              <w:rPr>
                <w:rFonts w:hint="eastAsia"/>
                <w:color w:val="auto"/>
                <w:highlight w:val="none"/>
              </w:rPr>
            </w:pPr>
          </w:p>
        </w:tc>
      </w:tr>
    </w:tbl>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宋体" w:hAnsi="宋体" w:eastAsia="宋体" w:cs="宋体"/>
          <w:color w:val="auto"/>
          <w:sz w:val="21"/>
          <w:szCs w:val="21"/>
          <w:highlight w:val="none"/>
          <w:lang w:val="en-US" w:eastAsia="zh-CN"/>
        </w:rPr>
        <w:t>备注：本处罚标准出自</w:t>
      </w:r>
      <w:r>
        <w:rPr>
          <w:rFonts w:hint="eastAsia" w:ascii="宋体" w:hAnsi="宋体" w:eastAsia="宋体" w:cs="宋体"/>
          <w:color w:val="auto"/>
          <w:sz w:val="21"/>
          <w:szCs w:val="21"/>
          <w:highlight w:val="none"/>
        </w:rPr>
        <w:t>《广州市净水有限公司经营建设项目参建企业不诚信行为管理办法》</w:t>
      </w:r>
      <w:r>
        <w:rPr>
          <w:rFonts w:hint="eastAsia" w:ascii="宋体" w:hAnsi="宋体" w:eastAsia="宋体" w:cs="宋体"/>
          <w:color w:val="auto"/>
          <w:sz w:val="21"/>
          <w:szCs w:val="21"/>
          <w:highlight w:val="none"/>
          <w:lang w:eastAsia="zh-CN"/>
        </w:rPr>
        <w:t>。</w:t>
      </w:r>
    </w:p>
    <w:p>
      <w:pPr>
        <w:pStyle w:val="22"/>
        <w:ind w:left="0" w:leftChars="0" w:firstLine="0" w:firstLineChars="0"/>
        <w:rPr>
          <w:rFonts w:hint="eastAsia" w:ascii="宋体" w:hAnsi="宋体" w:cs="宋体"/>
          <w:b/>
          <w:bCs/>
          <w:color w:val="auto"/>
          <w:sz w:val="24"/>
          <w:szCs w:val="24"/>
          <w:highlight w:val="none"/>
          <w:lang w:val="en-US" w:eastAsia="zh-CN"/>
        </w:rPr>
      </w:pPr>
    </w:p>
    <w:p>
      <w:pPr>
        <w:pStyle w:val="22"/>
        <w:ind w:left="0" w:leftChars="0" w:firstLine="0" w:firstLineChars="0"/>
        <w:rPr>
          <w:rFonts w:hint="eastAsia" w:ascii="宋体" w:hAnsi="宋体" w:cs="宋体"/>
          <w:b/>
          <w:bCs/>
          <w:color w:val="auto"/>
          <w:sz w:val="24"/>
          <w:szCs w:val="24"/>
          <w:highlight w:val="none"/>
          <w:lang w:val="en-US" w:eastAsia="zh-CN"/>
        </w:rPr>
      </w:pPr>
    </w:p>
    <w:tbl>
      <w:tblPr>
        <w:tblStyle w:val="2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44"/>
        <w:gridCol w:w="360"/>
        <w:gridCol w:w="202"/>
        <w:gridCol w:w="3352"/>
        <w:gridCol w:w="819"/>
        <w:gridCol w:w="756"/>
        <w:gridCol w:w="756"/>
        <w:gridCol w:w="756"/>
        <w:gridCol w:w="757"/>
        <w:gridCol w:w="7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392" w:type="pct"/>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附件2-2</w:t>
            </w:r>
          </w:p>
        </w:tc>
        <w:tc>
          <w:tcPr>
            <w:tcW w:w="243" w:type="pct"/>
            <w:tcBorders>
              <w:top w:val="nil"/>
              <w:left w:val="nil"/>
              <w:bottom w:val="nil"/>
              <w:right w:val="nil"/>
            </w:tcBorders>
            <w:shd w:val="clear" w:color="auto" w:fill="auto"/>
            <w:noWrap/>
            <w:tcMar>
              <w:top w:w="12" w:type="dxa"/>
              <w:left w:w="12" w:type="dxa"/>
              <w:right w:w="12" w:type="dxa"/>
            </w:tcMar>
            <w:vAlign w:val="center"/>
          </w:tcPr>
          <w:p>
            <w:pPr>
              <w:jc w:val="left"/>
              <w:rPr>
                <w:rFonts w:hint="eastAsia" w:ascii="等线" w:hAnsi="等线" w:eastAsia="等线" w:cs="等线"/>
                <w:i w:val="0"/>
                <w:color w:val="auto"/>
                <w:sz w:val="16"/>
                <w:szCs w:val="16"/>
                <w:highlight w:val="none"/>
                <w:u w:val="none"/>
              </w:rPr>
            </w:pPr>
          </w:p>
        </w:tc>
        <w:tc>
          <w:tcPr>
            <w:tcW w:w="1965" w:type="pct"/>
            <w:tcBorders>
              <w:top w:val="nil"/>
              <w:left w:val="nil"/>
              <w:bottom w:val="nil"/>
              <w:right w:val="nil"/>
            </w:tcBorders>
            <w:shd w:val="clear" w:color="auto" w:fill="auto"/>
            <w:noWrap/>
            <w:tcMar>
              <w:top w:w="12" w:type="dxa"/>
              <w:left w:w="12" w:type="dxa"/>
              <w:right w:w="12" w:type="dxa"/>
            </w:tcMar>
            <w:vAlign w:val="center"/>
          </w:tcPr>
          <w:p>
            <w:pPr>
              <w:rPr>
                <w:rFonts w:hint="eastAsia" w:ascii="等线" w:hAnsi="等线" w:eastAsia="等线" w:cs="等线"/>
                <w:i w:val="0"/>
                <w:color w:val="auto"/>
                <w:sz w:val="16"/>
                <w:szCs w:val="16"/>
                <w:highlight w:val="none"/>
                <w:u w:val="none"/>
              </w:rPr>
            </w:pPr>
          </w:p>
        </w:tc>
        <w:tc>
          <w:tcPr>
            <w:tcW w:w="537" w:type="pct"/>
            <w:tcBorders>
              <w:top w:val="nil"/>
              <w:left w:val="nil"/>
              <w:bottom w:val="nil"/>
              <w:right w:val="nil"/>
            </w:tcBorders>
            <w:shd w:val="clear" w:color="auto" w:fill="auto"/>
            <w:noWrap/>
            <w:tcMar>
              <w:top w:w="12" w:type="dxa"/>
              <w:left w:w="12" w:type="dxa"/>
              <w:right w:w="12" w:type="dxa"/>
            </w:tcMar>
            <w:vAlign w:val="center"/>
          </w:tcPr>
          <w:p>
            <w:pPr>
              <w:rPr>
                <w:rFonts w:hint="eastAsia" w:ascii="等线" w:hAnsi="等线" w:eastAsia="等线" w:cs="等线"/>
                <w:i w:val="0"/>
                <w:color w:val="auto"/>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
          <w:p>
            <w:pPr>
              <w:rPr>
                <w:rFonts w:hint="eastAsia" w:ascii="等线" w:hAnsi="等线" w:eastAsia="等线" w:cs="等线"/>
                <w:i w:val="0"/>
                <w:color w:val="auto"/>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
          <w:p>
            <w:pPr>
              <w:rPr>
                <w:rFonts w:hint="eastAsia" w:ascii="等线" w:hAnsi="等线" w:eastAsia="等线" w:cs="等线"/>
                <w:i w:val="0"/>
                <w:color w:val="auto"/>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
          <w:p>
            <w:pPr>
              <w:rPr>
                <w:rFonts w:hint="eastAsia" w:ascii="等线" w:hAnsi="等线" w:eastAsia="等线" w:cs="等线"/>
                <w:i w:val="0"/>
                <w:color w:val="auto"/>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
          <w:p>
            <w:pPr>
              <w:rPr>
                <w:rFonts w:hint="eastAsia" w:ascii="等线" w:hAnsi="等线" w:eastAsia="等线" w:cs="等线"/>
                <w:i w:val="0"/>
                <w:color w:val="auto"/>
                <w:sz w:val="16"/>
                <w:szCs w:val="16"/>
                <w:highlight w:val="none"/>
                <w:u w:val="none"/>
              </w:rPr>
            </w:pPr>
          </w:p>
        </w:tc>
        <w:tc>
          <w:tcPr>
            <w:tcW w:w="371" w:type="pct"/>
            <w:tcBorders>
              <w:top w:val="nil"/>
              <w:left w:val="nil"/>
              <w:bottom w:val="nil"/>
              <w:right w:val="nil"/>
            </w:tcBorders>
            <w:shd w:val="clear" w:color="auto" w:fill="auto"/>
            <w:noWrap/>
            <w:tcMar>
              <w:top w:w="12" w:type="dxa"/>
              <w:left w:w="12" w:type="dxa"/>
              <w:right w:w="12" w:type="dxa"/>
            </w:tcMar>
            <w:vAlign w:val="center"/>
          </w:tcPr>
          <w:p>
            <w:pPr>
              <w:rPr>
                <w:rFonts w:hint="eastAsia" w:ascii="等线" w:hAnsi="等线" w:eastAsia="等线" w:cs="等线"/>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5000" w:type="pct"/>
            <w:gridSpan w:val="10"/>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i w:val="0"/>
                <w:color w:val="auto"/>
                <w:sz w:val="16"/>
                <w:szCs w:val="16"/>
                <w:highlight w:val="none"/>
                <w:u w:val="none"/>
              </w:rPr>
            </w:pPr>
            <w:r>
              <w:rPr>
                <w:rFonts w:hint="eastAsia" w:ascii="等线" w:hAnsi="等线" w:eastAsia="等线" w:cs="等线"/>
                <w:b/>
                <w:i w:val="0"/>
                <w:color w:val="auto"/>
                <w:kern w:val="0"/>
                <w:sz w:val="16"/>
                <w:szCs w:val="16"/>
                <w:highlight w:val="none"/>
                <w:u w:val="none"/>
                <w:lang w:val="en-US" w:eastAsia="zh-CN" w:bidi="ar"/>
              </w:rPr>
              <w:t>营运项目承包单位综合履约考评表（安全）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2601" w:type="pct"/>
            <w:gridSpan w:val="4"/>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等线" w:hAnsi="等线" w:eastAsia="等线" w:cs="等线"/>
                <w:b/>
                <w:i w:val="0"/>
                <w:color w:val="auto"/>
                <w:sz w:val="16"/>
                <w:szCs w:val="16"/>
                <w:highlight w:val="none"/>
                <w:u w:val="none"/>
              </w:rPr>
            </w:pPr>
            <w:r>
              <w:rPr>
                <w:rFonts w:hint="eastAsia" w:ascii="等线" w:hAnsi="等线" w:eastAsia="等线" w:cs="等线"/>
                <w:b/>
                <w:i w:val="0"/>
                <w:color w:val="auto"/>
                <w:kern w:val="0"/>
                <w:sz w:val="16"/>
                <w:szCs w:val="16"/>
                <w:highlight w:val="none"/>
                <w:u w:val="none"/>
                <w:lang w:val="en-US" w:eastAsia="zh-CN" w:bidi="ar"/>
              </w:rPr>
              <w:t>项目名称：</w:t>
            </w:r>
          </w:p>
        </w:tc>
        <w:tc>
          <w:tcPr>
            <w:tcW w:w="537" w:type="pct"/>
            <w:tcBorders>
              <w:top w:val="nil"/>
              <w:left w:val="nil"/>
              <w:bottom w:val="nil"/>
              <w:right w:val="nil"/>
            </w:tcBorders>
            <w:shd w:val="clear" w:color="auto" w:fill="auto"/>
            <w:noWrap/>
            <w:tcMar>
              <w:top w:w="12" w:type="dxa"/>
              <w:left w:w="12" w:type="dxa"/>
              <w:right w:w="12" w:type="dxa"/>
            </w:tcMar>
            <w:vAlign w:val="center"/>
          </w:tcPr>
          <w:p>
            <w:pPr>
              <w:jc w:val="center"/>
              <w:rPr>
                <w:rFonts w:hint="eastAsia" w:ascii="等线" w:hAnsi="等线" w:eastAsia="等线" w:cs="等线"/>
                <w:b/>
                <w:i w:val="0"/>
                <w:color w:val="auto"/>
                <w:sz w:val="16"/>
                <w:szCs w:val="16"/>
                <w:highlight w:val="none"/>
                <w:u w:val="none"/>
              </w:rPr>
            </w:pPr>
          </w:p>
        </w:tc>
        <w:tc>
          <w:tcPr>
            <w:tcW w:w="1861" w:type="pct"/>
            <w:gridSpan w:val="5"/>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等线" w:hAnsi="等线" w:eastAsia="等线" w:cs="等线"/>
                <w:b/>
                <w:i w:val="0"/>
                <w:color w:val="auto"/>
                <w:sz w:val="16"/>
                <w:szCs w:val="16"/>
                <w:highlight w:val="none"/>
                <w:u w:val="none"/>
              </w:rPr>
            </w:pPr>
            <w:r>
              <w:rPr>
                <w:rFonts w:hint="eastAsia" w:ascii="等线" w:hAnsi="等线" w:eastAsia="等线" w:cs="等线"/>
                <w:b/>
                <w:i w:val="0"/>
                <w:color w:val="auto"/>
                <w:kern w:val="0"/>
                <w:sz w:val="16"/>
                <w:szCs w:val="16"/>
                <w:highlight w:val="none"/>
                <w:u w:val="none"/>
                <w:lang w:val="en-US" w:eastAsia="zh-CN" w:bidi="ar"/>
              </w:rPr>
              <w:t>综合考评日期：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169"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序号</w:t>
            </w:r>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考评项目</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考评分项</w:t>
            </w:r>
          </w:p>
        </w:tc>
        <w:tc>
          <w:tcPr>
            <w:tcW w:w="196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考评内容</w:t>
            </w:r>
          </w:p>
        </w:tc>
        <w:tc>
          <w:tcPr>
            <w:tcW w:w="537"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考评标准</w:t>
            </w:r>
          </w:p>
        </w:tc>
        <w:tc>
          <w:tcPr>
            <w:tcW w:w="37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监理单位考评</w:t>
            </w:r>
          </w:p>
        </w:tc>
        <w:tc>
          <w:tcPr>
            <w:tcW w:w="37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分公司考评</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公司考评</w:t>
            </w:r>
          </w:p>
        </w:tc>
        <w:tc>
          <w:tcPr>
            <w:tcW w:w="37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综合考评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16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19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3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3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业务主管部门</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安全管理部门</w:t>
            </w:r>
          </w:p>
        </w:tc>
        <w:tc>
          <w:tcPr>
            <w:tcW w:w="37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一、加分部分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w:t>
            </w:r>
          </w:p>
        </w:tc>
        <w:tc>
          <w:tcPr>
            <w:tcW w:w="467"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综合管理</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受到业主单位或上级管理部门通报表扬的</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加5～10分/项，可叠加</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2</w:t>
            </w:r>
          </w:p>
        </w:tc>
        <w:tc>
          <w:tcPr>
            <w:tcW w:w="467"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现场管理</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积极配合业主单位做好安全工作及相关宣传教育，积极主动排查隐患的</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加5分/项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二、扣分部分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3</w:t>
            </w:r>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安全事故</w:t>
            </w:r>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事故类型</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发生重伤1人及以上安全事故，或直接经济损失达200万元以上的安全生产事故</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扣100分/项，同时3年内禁止来我公司投标</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6</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发生停产、影响环境、破坏公共设施、造成不良影响等事故的</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扣40分/项，可叠加，到达100分，3年内禁止来我公司投标</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4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7</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事故处理</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1.发生事故或事件隐瞒不报的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2.未在1小时内向业主单位上报事故的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3.拒绝、不配合事故事件调查的或事故事件调查提供虚假信息</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4.未按规定和程序组织事故调查和事故处理的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5.未及时处理导致事故扩大的</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6.未落实“四不放过”的</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扣100分/项，同时3年内禁止来我公司投标</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8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8</w:t>
            </w:r>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首次备案施工单位须提供的资料</w:t>
            </w: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一般资料</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1.施工人员签名的安全交底表（交底内容由分公司编写），被交底人员应与人员花名册一致</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2.施工单位对施工人员的三级安全教育材料</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3.特殊时期需要增加的资料（如新冠疫情期间，需要增加的人员健康码和行程码资料）</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缺资料扣3～5分/项；</w:t>
            </w:r>
          </w:p>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资料有问题扣1～3分/项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8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9</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施工方案</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4.施工方案，应满足合同要求，内容至少包括：</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施工点介绍</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施工内容（含作业流程、风险分析、施工工艺等）</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施工设备和材料（必要时含构件测试手段等）</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安全措施（根据工程特点、分公司的风险评估和施工单位的施工工艺制定）</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 xml:space="preserve">  正常施工安全物资（主要是安全防护设备、劳保用品）</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缺施工方案扣4～8分/项；</w:t>
            </w:r>
          </w:p>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资料有问题扣1～3分/项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7"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10</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应急预案</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5.应急预案，内容至少包括：</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现场情况介绍</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风险评估</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应急架构（包括应急主管人员和安全员，以及各应急小组，落实到人和联系方式）</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应急流程</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各种风险情况下的应急措施（根据现场情况、分公司的风险评估制定）</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应急物资清单</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 xml:space="preserve">  外单位救援力量及联系方式等</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缺应急预案扣4～8分/项；</w:t>
            </w:r>
          </w:p>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资料有问题扣1～3分/项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2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11</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安全架构</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6.安全架构和相应安全责任制（落实到人和联系方式），可编写入施工方案内，架构人员主要包括：</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安全责任人</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施工负责人（可与安全责任人为同一个人）</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安全员</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设备、物资管理人员</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 xml:space="preserve">  关键岗位人员、特种作业人员</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缺安全架构扣5～10分/项；</w:t>
            </w:r>
          </w:p>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缺任何一类人员及其职责有问题扣2～4分/项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2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12</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人员资质</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7.施工人员花名册，人员应包含：</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施工负责人（需要施工管理人员资格证书）</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安全员（涉及动火、临时用电、有限空间、高空、抽堵盲板、吊装、动土、断路、设备检修等9大危险作业的，安全员需要有安全员证）</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特种作业人员（附证件号，同时要复印特种作业证，特种作业人数应满足合同要求）</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一般施工人员</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 xml:space="preserve">  可能需要进入厂区的其他人员（如监理人员、资料员等）</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注：如作业涉及危险作业，作业人员须有作业人员岗前职业病体检和筛选</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缺花名册扣3～5分/项；</w:t>
            </w:r>
          </w:p>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缺特种作业人员或特种作业人员不满足合同要求扣3～5分/项；</w:t>
            </w:r>
          </w:p>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其他人员或资料有缺漏扣1～3分/项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6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13</w:t>
            </w:r>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施工现场管理</w:t>
            </w: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现场面貌</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1.施工现场未开展有效围蔽</w:t>
            </w:r>
          </w:p>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2.无七牌一图或有缺漏（七牌：工程概况牌：管理人员名单及监督电话牌、现场事故应急救援预案公示牌、安全生产牌、文明施工牌、消防保卫牌、环境保护牌；一图：施工现场平面图）</w:t>
            </w:r>
          </w:p>
          <w:p>
            <w:pPr>
              <w:keepNext w:val="0"/>
              <w:keepLines w:val="0"/>
              <w:widowControl/>
              <w:suppressLineNumbers w:val="0"/>
              <w:jc w:val="left"/>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3.现场无危险源公示、告知及相应警示</w:t>
            </w:r>
          </w:p>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4.材料堆放存在重大隐患</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扣2～4分/项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14</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施工管理</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1.现场未按施工方案落实安全防范措施的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2.危险作业未经业主人员审批先行施工的</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3.未按施工方案施工的</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扣3～5分/项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15</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每日安全交底</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1.缺少书面交底、未留存书面资料或交底资料缺少交底人、被交底人及安全员签字的</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2.内容未结合当天的现场状况、特点、工序，对危险因素、施工内容、安全作业和应急措施进行交底的</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扣2～4分/项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0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16</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作业行为管理</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1.违反9大危险作业相关作业规范的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2.现场存在违章作业、违章指挥等违反相关安全管理规定或制度的</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3.人员错误使用劳保用品3次以上的</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扣3～5分/项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17</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安全记录</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未按施工要求开展现场记录或记录内容有缺失</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扣2～4分/项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18</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应急管理</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1.未设置应急物资点，未统一存放应急物资</w:t>
            </w:r>
          </w:p>
          <w:p>
            <w:pPr>
              <w:keepNext w:val="0"/>
              <w:keepLines w:val="0"/>
              <w:widowControl/>
              <w:suppressLineNumbers w:val="0"/>
              <w:jc w:val="both"/>
              <w:textAlignment w:val="center"/>
              <w:rPr>
                <w:rFonts w:hint="eastAsia" w:ascii="仿宋_GB2312" w:hAnsi="等线" w:eastAsia="仿宋_GB2312" w:cs="仿宋_GB2312"/>
                <w:i w:val="0"/>
                <w:color w:val="auto"/>
                <w:kern w:val="0"/>
                <w:sz w:val="16"/>
                <w:szCs w:val="16"/>
                <w:highlight w:val="none"/>
                <w:u w:val="none"/>
                <w:lang w:val="en-US" w:eastAsia="zh-CN" w:bidi="ar"/>
              </w:rPr>
            </w:pPr>
            <w:r>
              <w:rPr>
                <w:rFonts w:hint="eastAsia" w:ascii="仿宋_GB2312" w:hAnsi="等线" w:eastAsia="仿宋_GB2312" w:cs="仿宋_GB2312"/>
                <w:i w:val="0"/>
                <w:color w:val="auto"/>
                <w:kern w:val="0"/>
                <w:sz w:val="16"/>
                <w:szCs w:val="16"/>
                <w:highlight w:val="none"/>
                <w:u w:val="none"/>
                <w:lang w:val="en-US" w:eastAsia="zh-CN" w:bidi="ar"/>
              </w:rPr>
              <w:t>2.应急物资点无应急物资清单或无应急物资每日检查表</w:t>
            </w:r>
          </w:p>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3.无开展日常应急培训、训练、演练或无资料留档的</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扣2～4分/项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19</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人员管理</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人员变更无完善的手续及资料的</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扣3～5分/项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20</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隐患管理</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未及时对发现的隐患开展整改的</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扣4～8分/项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21</w:t>
            </w: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其他</w:t>
            </w: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违反业主或上级主管部门提出的其他管理要求、文件、规定或拒不执行的</w:t>
            </w: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i w:val="0"/>
                <w:color w:val="auto"/>
                <w:sz w:val="16"/>
                <w:szCs w:val="16"/>
                <w:highlight w:val="none"/>
                <w:u w:val="none"/>
              </w:rPr>
            </w:pPr>
            <w:r>
              <w:rPr>
                <w:rFonts w:hint="eastAsia" w:ascii="仿宋_GB2312" w:hAnsi="等线" w:eastAsia="仿宋_GB2312" w:cs="仿宋_GB2312"/>
                <w:i w:val="0"/>
                <w:color w:val="auto"/>
                <w:kern w:val="0"/>
                <w:sz w:val="16"/>
                <w:szCs w:val="16"/>
                <w:highlight w:val="none"/>
                <w:u w:val="none"/>
                <w:lang w:val="en-US" w:eastAsia="zh-CN" w:bidi="ar"/>
              </w:rPr>
              <w:t>扣2～5分/项</w:t>
            </w: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i w:val="0"/>
                <w:color w:val="auto"/>
                <w:sz w:val="16"/>
                <w:szCs w:val="16"/>
                <w:highlight w:val="none"/>
                <w:u w:val="none"/>
              </w:rPr>
            </w:pPr>
            <w:r>
              <w:rPr>
                <w:rFonts w:hint="eastAsia" w:ascii="等线" w:hAnsi="等线" w:eastAsia="等线" w:cs="等线"/>
                <w:i w:val="0"/>
                <w:color w:val="auto"/>
                <w:kern w:val="0"/>
                <w:sz w:val="16"/>
                <w:szCs w:val="16"/>
                <w:highlight w:val="none"/>
                <w:u w:val="none"/>
                <w:lang w:val="en-US" w:eastAsia="zh-CN" w:bidi="ar"/>
              </w:rPr>
              <w:t>22</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仿宋_GB2312" w:hAnsi="等线" w:eastAsia="仿宋_GB2312" w:cs="仿宋_GB2312"/>
                <w:i w:val="0"/>
                <w:color w:val="auto"/>
                <w:sz w:val="16"/>
                <w:szCs w:val="16"/>
                <w:highlight w:val="none"/>
                <w:u w:val="none"/>
              </w:rPr>
            </w:pP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hint="eastAsia" w:ascii="仿宋_GB2312" w:hAnsi="等线" w:eastAsia="仿宋_GB2312" w:cs="仿宋_GB2312"/>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5000" w:type="pct"/>
            <w:gridSpan w:val="10"/>
            <w:tcBorders>
              <w:top w:val="nil"/>
              <w:left w:val="nil"/>
              <w:bottom w:val="nil"/>
              <w:right w:val="nil"/>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color w:val="auto"/>
                <w:sz w:val="13"/>
                <w:szCs w:val="13"/>
                <w:highlight w:val="none"/>
                <w:lang w:val="en-US" w:eastAsia="zh-CN"/>
              </w:rPr>
            </w:pPr>
            <w:r>
              <w:rPr>
                <w:rFonts w:hint="eastAsia"/>
                <w:color w:val="auto"/>
                <w:sz w:val="13"/>
                <w:szCs w:val="13"/>
                <w:highlight w:val="none"/>
                <w:lang w:val="en-US" w:eastAsia="zh-CN"/>
              </w:rPr>
              <w:t>注：1、综合考评满分100分，各考评项目扣分不设上限；</w:t>
            </w:r>
          </w:p>
          <w:p>
            <w:pPr>
              <w:keepNext w:val="0"/>
              <w:keepLines w:val="0"/>
              <w:widowControl/>
              <w:suppressLineNumbers w:val="0"/>
              <w:jc w:val="left"/>
              <w:textAlignment w:val="center"/>
              <w:rPr>
                <w:rFonts w:hint="eastAsia"/>
                <w:color w:val="auto"/>
                <w:sz w:val="13"/>
                <w:szCs w:val="13"/>
                <w:highlight w:val="none"/>
                <w:lang w:val="en-US" w:eastAsia="zh-CN"/>
              </w:rPr>
            </w:pPr>
            <w:r>
              <w:rPr>
                <w:rFonts w:hint="eastAsia"/>
                <w:color w:val="auto"/>
                <w:sz w:val="13"/>
                <w:szCs w:val="13"/>
                <w:highlight w:val="none"/>
                <w:lang w:val="en-US" w:eastAsia="zh-CN"/>
              </w:rPr>
              <w:t xml:space="preserve">    2、监理单位考评只作为参考及履职依据，不计入考评，无监理单位不需填写；</w:t>
            </w:r>
          </w:p>
          <w:p>
            <w:pPr>
              <w:keepNext w:val="0"/>
              <w:keepLines w:val="0"/>
              <w:widowControl/>
              <w:suppressLineNumbers w:val="0"/>
              <w:jc w:val="left"/>
              <w:textAlignment w:val="center"/>
              <w:rPr>
                <w:rFonts w:hint="eastAsia"/>
                <w:color w:val="auto"/>
                <w:sz w:val="13"/>
                <w:szCs w:val="13"/>
                <w:highlight w:val="none"/>
                <w:lang w:val="en-US" w:eastAsia="zh-CN"/>
              </w:rPr>
            </w:pPr>
            <w:r>
              <w:rPr>
                <w:rFonts w:hint="eastAsia"/>
                <w:color w:val="auto"/>
                <w:sz w:val="13"/>
                <w:szCs w:val="13"/>
                <w:highlight w:val="none"/>
                <w:lang w:val="en-US" w:eastAsia="zh-CN"/>
              </w:rPr>
              <w:t xml:space="preserve">    3、“公司考评”业务主管部门和安全办针对本部门检查发现的内容进行扣（奖）分，项目部已经进行扣（奖）分的不重复执行；</w:t>
            </w:r>
          </w:p>
          <w:p>
            <w:pPr>
              <w:keepNext w:val="0"/>
              <w:keepLines w:val="0"/>
              <w:widowControl/>
              <w:suppressLineNumbers w:val="0"/>
              <w:jc w:val="left"/>
              <w:textAlignment w:val="center"/>
              <w:rPr>
                <w:rFonts w:hint="eastAsia"/>
                <w:color w:val="auto"/>
                <w:sz w:val="13"/>
                <w:szCs w:val="13"/>
                <w:highlight w:val="none"/>
                <w:lang w:val="en-US" w:eastAsia="zh-CN"/>
              </w:rPr>
            </w:pPr>
            <w:r>
              <w:rPr>
                <w:rFonts w:hint="eastAsia"/>
                <w:color w:val="auto"/>
                <w:sz w:val="13"/>
                <w:szCs w:val="13"/>
                <w:highlight w:val="none"/>
                <w:lang w:val="en-US" w:eastAsia="zh-CN"/>
              </w:rPr>
              <w:t xml:space="preserve">    4、各分公司考评填写相应的得（扣）分数值，如奖2分则填写“2”，扣2分则填写“-2”；</w:t>
            </w:r>
          </w:p>
          <w:p>
            <w:pPr>
              <w:keepNext w:val="0"/>
              <w:keepLines w:val="0"/>
              <w:widowControl/>
              <w:suppressLineNumbers w:val="0"/>
              <w:jc w:val="left"/>
              <w:textAlignment w:val="center"/>
              <w:rPr>
                <w:rFonts w:hint="eastAsia"/>
                <w:color w:val="auto"/>
                <w:sz w:val="13"/>
                <w:szCs w:val="13"/>
                <w:highlight w:val="none"/>
                <w:lang w:val="en-US" w:eastAsia="zh-CN"/>
              </w:rPr>
            </w:pPr>
            <w:r>
              <w:rPr>
                <w:rFonts w:hint="eastAsia"/>
                <w:color w:val="auto"/>
                <w:sz w:val="13"/>
                <w:szCs w:val="13"/>
                <w:highlight w:val="none"/>
                <w:lang w:val="en-US" w:eastAsia="zh-CN"/>
              </w:rPr>
              <w:t xml:space="preserve">    5、单项“综合考评”=项目部考评+公司考评；综合考评总分=各单项“综合考评”+100</w:t>
            </w:r>
          </w:p>
          <w:p>
            <w:pPr>
              <w:keepNext w:val="0"/>
              <w:keepLines w:val="0"/>
              <w:widowControl/>
              <w:suppressLineNumbers w:val="0"/>
              <w:jc w:val="left"/>
              <w:textAlignment w:val="center"/>
              <w:rPr>
                <w:rFonts w:hint="eastAsia"/>
                <w:color w:val="auto"/>
                <w:sz w:val="13"/>
                <w:szCs w:val="13"/>
                <w:highlight w:val="none"/>
                <w:lang w:val="en-US" w:eastAsia="zh-CN"/>
              </w:rPr>
            </w:pPr>
            <w:r>
              <w:rPr>
                <w:rFonts w:hint="eastAsia"/>
                <w:color w:val="auto"/>
                <w:sz w:val="13"/>
                <w:szCs w:val="13"/>
                <w:highlight w:val="none"/>
                <w:lang w:val="en-US" w:eastAsia="zh-CN"/>
              </w:rPr>
              <w:t xml:space="preserve">    6、最后得分=综合考评总分X类别系数；</w:t>
            </w:r>
          </w:p>
          <w:p>
            <w:pPr>
              <w:keepNext w:val="0"/>
              <w:keepLines w:val="0"/>
              <w:widowControl/>
              <w:suppressLineNumbers w:val="0"/>
              <w:jc w:val="left"/>
              <w:textAlignment w:val="center"/>
              <w:rPr>
                <w:rFonts w:hint="eastAsia"/>
                <w:color w:val="auto"/>
                <w:sz w:val="13"/>
                <w:szCs w:val="13"/>
                <w:highlight w:val="none"/>
                <w:lang w:val="en-US" w:eastAsia="zh-CN"/>
              </w:rPr>
            </w:pPr>
            <w:r>
              <w:rPr>
                <w:rFonts w:hint="eastAsia"/>
                <w:color w:val="auto"/>
                <w:sz w:val="13"/>
                <w:szCs w:val="13"/>
                <w:highlight w:val="none"/>
                <w:lang w:val="en-US" w:eastAsia="zh-CN"/>
              </w:rPr>
              <w:t xml:space="preserve">    7、各考评项目具体考评标准内容参照广州市净水有限公司标准《工程项目安全管理规范》（Q/GZJSA 1-2021）执行。 </w:t>
            </w:r>
          </w:p>
          <w:p>
            <w:pPr>
              <w:numPr>
                <w:ilvl w:val="0"/>
                <w:numId w:val="0"/>
              </w:numPr>
              <w:ind w:firstLine="260" w:firstLineChars="200"/>
              <w:contextualSpacing/>
              <w:jc w:val="left"/>
              <w:rPr>
                <w:rFonts w:hint="eastAsia" w:ascii="仿宋_GB2312" w:hAnsi="仿宋_GB2312" w:eastAsia="仿宋_GB2312" w:cs="仿宋_GB2312"/>
                <w:color w:val="auto"/>
                <w:sz w:val="13"/>
                <w:szCs w:val="13"/>
                <w:highlight w:val="none"/>
                <w:lang w:val="en-US" w:eastAsia="zh-CN"/>
              </w:rPr>
            </w:pPr>
            <w:r>
              <w:rPr>
                <w:rFonts w:hint="eastAsia" w:ascii="仿宋_GB2312" w:hAnsi="仿宋_GB2312" w:eastAsia="仿宋_GB2312" w:cs="仿宋_GB2312"/>
                <w:color w:val="auto"/>
                <w:sz w:val="13"/>
                <w:szCs w:val="13"/>
                <w:highlight w:val="none"/>
                <w:lang w:val="en-US" w:eastAsia="zh-CN"/>
              </w:rPr>
              <w:t>8、本处理标准出自</w:t>
            </w:r>
            <w:r>
              <w:rPr>
                <w:rFonts w:hint="eastAsia" w:ascii="仿宋_GB2312" w:hAnsi="仿宋_GB2312" w:eastAsia="仿宋_GB2312" w:cs="仿宋_GB2312"/>
                <w:color w:val="auto"/>
                <w:sz w:val="13"/>
                <w:szCs w:val="13"/>
                <w:highlight w:val="none"/>
              </w:rPr>
              <w:t>《</w:t>
            </w:r>
            <w:r>
              <w:rPr>
                <w:rFonts w:hint="eastAsia" w:ascii="宋体" w:hAnsi="宋体" w:eastAsia="宋体" w:cs="宋体"/>
                <w:color w:val="auto"/>
                <w:sz w:val="13"/>
                <w:szCs w:val="13"/>
                <w:highlight w:val="none"/>
                <w:lang w:eastAsia="zh-CN"/>
              </w:rPr>
              <w:t>广州净水公司工程项目承包单位质量安全考评细则（试行）</w:t>
            </w:r>
            <w:r>
              <w:rPr>
                <w:rFonts w:hint="eastAsia" w:ascii="仿宋_GB2312" w:hAnsi="仿宋_GB2312" w:eastAsia="仿宋_GB2312" w:cs="仿宋_GB2312"/>
                <w:color w:val="auto"/>
                <w:sz w:val="13"/>
                <w:szCs w:val="13"/>
                <w:highlight w:val="none"/>
              </w:rPr>
              <w:t>》</w:t>
            </w:r>
            <w:r>
              <w:rPr>
                <w:rFonts w:hint="eastAsia" w:ascii="仿宋_GB2312" w:hAnsi="仿宋_GB2312" w:eastAsia="仿宋_GB2312" w:cs="仿宋_GB2312"/>
                <w:color w:val="auto"/>
                <w:sz w:val="13"/>
                <w:szCs w:val="13"/>
                <w:highlight w:val="none"/>
                <w:lang w:eastAsia="zh-CN"/>
              </w:rPr>
              <w:t>。</w:t>
            </w:r>
          </w:p>
          <w:p>
            <w:pPr>
              <w:pStyle w:val="22"/>
              <w:rPr>
                <w:rFonts w:hint="eastAsia"/>
                <w:color w:val="auto"/>
                <w:highlight w:val="none"/>
              </w:rPr>
            </w:pPr>
          </w:p>
        </w:tc>
      </w:tr>
    </w:tbl>
    <w:p>
      <w:pPr>
        <w:widowControl/>
        <w:jc w:val="left"/>
        <w:rPr>
          <w:rFonts w:hint="eastAsia" w:ascii="宋体" w:hAnsi="宋体" w:cs="宋体"/>
          <w:color w:val="auto"/>
          <w:szCs w:val="21"/>
          <w:highlight w:val="none"/>
          <w:lang w:eastAsia="zh-CN"/>
        </w:rPr>
      </w:pPr>
    </w:p>
    <w:p>
      <w:pPr>
        <w:widowControl/>
        <w:jc w:val="left"/>
        <w:rPr>
          <w:rFonts w:hint="eastAsia" w:ascii="宋体" w:hAnsi="宋体" w:cs="宋体"/>
          <w:color w:val="auto"/>
          <w:szCs w:val="21"/>
          <w:highlight w:val="none"/>
          <w:lang w:eastAsia="zh-CN"/>
        </w:rPr>
      </w:pPr>
    </w:p>
    <w:p>
      <w:pPr>
        <w:rPr>
          <w:rFonts w:hint="eastAsia" w:ascii="宋体" w:hAnsi="宋体" w:cs="宋体"/>
          <w:b/>
          <w:bCs/>
          <w:color w:val="auto"/>
          <w:sz w:val="24"/>
          <w:szCs w:val="24"/>
          <w:highlight w:val="none"/>
          <w:lang w:val="en-US" w:eastAsia="zh-CN"/>
        </w:rPr>
      </w:pPr>
    </w:p>
    <w:p>
      <w:pPr>
        <w:keepNext w:val="0"/>
        <w:keepLines w:val="0"/>
        <w:pageBreakBefore w:val="0"/>
        <w:widowControl w:val="0"/>
        <w:kinsoku/>
        <w:wordWrap/>
        <w:overflowPunct/>
        <w:bidi w:val="0"/>
        <w:spacing w:line="360" w:lineRule="exact"/>
        <w:ind w:firstLine="0" w:firstLineChars="0"/>
        <w:jc w:val="left"/>
        <w:rPr>
          <w:rFonts w:hint="eastAsia" w:ascii="宋体" w:hAnsi="宋体" w:eastAsia="宋体" w:cs="宋体"/>
          <w:b/>
          <w:bCs/>
          <w:color w:val="auto"/>
          <w:sz w:val="21"/>
          <w:szCs w:val="21"/>
          <w:highlight w:val="none"/>
          <w:lang w:val="en-US" w:eastAsia="zh-CN"/>
        </w:rPr>
      </w:pPr>
    </w:p>
    <w:p>
      <w:pPr>
        <w:keepNext w:val="0"/>
        <w:keepLines w:val="0"/>
        <w:pageBreakBefore w:val="0"/>
        <w:widowControl w:val="0"/>
        <w:kinsoku/>
        <w:wordWrap/>
        <w:overflowPunct/>
        <w:bidi w:val="0"/>
        <w:spacing w:line="360" w:lineRule="exact"/>
        <w:ind w:firstLine="0" w:firstLineChars="0"/>
        <w:jc w:val="left"/>
        <w:rPr>
          <w:rFonts w:hint="eastAsia" w:ascii="宋体" w:hAnsi="宋体" w:eastAsia="宋体" w:cs="宋体"/>
          <w:b/>
          <w:bCs/>
          <w:color w:val="auto"/>
          <w:sz w:val="21"/>
          <w:szCs w:val="21"/>
          <w:highlight w:val="none"/>
          <w:lang w:val="en-US" w:eastAsia="zh-CN"/>
        </w:rPr>
      </w:pPr>
    </w:p>
    <w:p>
      <w:pPr>
        <w:keepNext w:val="0"/>
        <w:keepLines w:val="0"/>
        <w:pageBreakBefore w:val="0"/>
        <w:widowControl w:val="0"/>
        <w:kinsoku/>
        <w:wordWrap/>
        <w:overflowPunct/>
        <w:bidi w:val="0"/>
        <w:spacing w:line="360" w:lineRule="exact"/>
        <w:ind w:firstLine="0" w:firstLineChars="0"/>
        <w:jc w:val="left"/>
        <w:rPr>
          <w:rFonts w:hint="eastAsia" w:ascii="宋体" w:hAnsi="宋体" w:eastAsia="宋体" w:cs="宋体"/>
          <w:b/>
          <w:bCs/>
          <w:color w:val="auto"/>
          <w:sz w:val="21"/>
          <w:szCs w:val="21"/>
          <w:highlight w:val="none"/>
          <w:lang w:val="en-US" w:eastAsia="zh-CN"/>
        </w:rPr>
      </w:pPr>
    </w:p>
    <w:p>
      <w:pPr>
        <w:keepNext w:val="0"/>
        <w:keepLines w:val="0"/>
        <w:pageBreakBefore w:val="0"/>
        <w:widowControl w:val="0"/>
        <w:kinsoku/>
        <w:wordWrap/>
        <w:overflowPunct/>
        <w:bidi w:val="0"/>
        <w:spacing w:line="360" w:lineRule="exact"/>
        <w:ind w:firstLine="0" w:firstLineChars="0"/>
        <w:jc w:val="left"/>
        <w:rPr>
          <w:rFonts w:hint="eastAsia" w:ascii="宋体" w:hAnsi="宋体" w:eastAsia="宋体" w:cs="宋体"/>
          <w:b/>
          <w:bCs/>
          <w:color w:val="auto"/>
          <w:sz w:val="21"/>
          <w:szCs w:val="21"/>
          <w:highlight w:val="none"/>
          <w:lang w:val="en-US" w:eastAsia="zh-CN"/>
        </w:rPr>
      </w:pPr>
    </w:p>
    <w:p>
      <w:pPr>
        <w:keepNext w:val="0"/>
        <w:keepLines w:val="0"/>
        <w:pageBreakBefore w:val="0"/>
        <w:widowControl w:val="0"/>
        <w:kinsoku/>
        <w:wordWrap/>
        <w:overflowPunct/>
        <w:bidi w:val="0"/>
        <w:spacing w:line="360" w:lineRule="exact"/>
        <w:ind w:firstLine="0" w:firstLineChars="0"/>
        <w:jc w:val="left"/>
        <w:rPr>
          <w:rFonts w:hint="eastAsia" w:ascii="宋体" w:hAnsi="宋体" w:eastAsia="宋体" w:cs="宋体"/>
          <w:b/>
          <w:bCs/>
          <w:color w:val="auto"/>
          <w:sz w:val="21"/>
          <w:szCs w:val="21"/>
          <w:highlight w:val="none"/>
          <w:lang w:val="en-US" w:eastAsia="zh-CN"/>
        </w:rPr>
      </w:pPr>
    </w:p>
    <w:p>
      <w:pPr>
        <w:keepNext w:val="0"/>
        <w:keepLines w:val="0"/>
        <w:pageBreakBefore w:val="0"/>
        <w:widowControl w:val="0"/>
        <w:kinsoku/>
        <w:wordWrap/>
        <w:overflowPunct/>
        <w:bidi w:val="0"/>
        <w:spacing w:line="360" w:lineRule="exact"/>
        <w:ind w:firstLine="0" w:firstLineChars="0"/>
        <w:jc w:val="left"/>
        <w:rPr>
          <w:rFonts w:hint="eastAsia" w:ascii="宋体" w:hAnsi="宋体" w:eastAsia="宋体" w:cs="宋体"/>
          <w:b/>
          <w:bCs/>
          <w:color w:val="auto"/>
          <w:sz w:val="21"/>
          <w:szCs w:val="21"/>
          <w:highlight w:val="none"/>
          <w:lang w:val="en-US" w:eastAsia="zh-CN"/>
        </w:rPr>
      </w:pPr>
    </w:p>
    <w:p>
      <w:pPr>
        <w:keepNext w:val="0"/>
        <w:keepLines w:val="0"/>
        <w:pageBreakBefore w:val="0"/>
        <w:widowControl w:val="0"/>
        <w:kinsoku/>
        <w:wordWrap/>
        <w:overflowPunct/>
        <w:bidi w:val="0"/>
        <w:spacing w:line="360" w:lineRule="exact"/>
        <w:ind w:firstLine="0" w:firstLineChars="0"/>
        <w:jc w:val="left"/>
        <w:rPr>
          <w:rFonts w:hint="eastAsia" w:ascii="宋体" w:hAnsi="宋体" w:eastAsia="宋体" w:cs="宋体"/>
          <w:b/>
          <w:bCs/>
          <w:color w:val="auto"/>
          <w:sz w:val="21"/>
          <w:szCs w:val="21"/>
          <w:highlight w:val="none"/>
          <w:lang w:val="en-US" w:eastAsia="zh-CN"/>
        </w:rPr>
      </w:pPr>
    </w:p>
    <w:p>
      <w:pPr>
        <w:keepNext w:val="0"/>
        <w:keepLines w:val="0"/>
        <w:pageBreakBefore w:val="0"/>
        <w:widowControl w:val="0"/>
        <w:kinsoku/>
        <w:wordWrap/>
        <w:overflowPunct/>
        <w:bidi w:val="0"/>
        <w:spacing w:line="360" w:lineRule="exact"/>
        <w:ind w:firstLine="0" w:firstLineChars="0"/>
        <w:jc w:val="left"/>
        <w:rPr>
          <w:rFonts w:hint="eastAsia" w:ascii="宋体" w:hAnsi="宋体" w:eastAsia="宋体" w:cs="宋体"/>
          <w:b/>
          <w:bCs/>
          <w:color w:val="auto"/>
          <w:sz w:val="21"/>
          <w:szCs w:val="21"/>
          <w:highlight w:val="none"/>
          <w:lang w:val="en-US" w:eastAsia="zh-CN"/>
        </w:rPr>
      </w:pPr>
    </w:p>
    <w:p>
      <w:pPr>
        <w:keepNext w:val="0"/>
        <w:keepLines w:val="0"/>
        <w:pageBreakBefore w:val="0"/>
        <w:widowControl w:val="0"/>
        <w:kinsoku/>
        <w:wordWrap/>
        <w:overflowPunct/>
        <w:bidi w:val="0"/>
        <w:spacing w:line="360" w:lineRule="exact"/>
        <w:ind w:firstLine="0" w:firstLineChars="0"/>
        <w:jc w:val="left"/>
        <w:rPr>
          <w:rFonts w:hint="eastAsia" w:ascii="宋体" w:hAnsi="宋体" w:eastAsia="宋体" w:cs="宋体"/>
          <w:b/>
          <w:bCs/>
          <w:color w:val="auto"/>
          <w:sz w:val="21"/>
          <w:szCs w:val="21"/>
          <w:highlight w:val="none"/>
          <w:lang w:val="en-US" w:eastAsia="zh-CN"/>
        </w:rPr>
      </w:pPr>
    </w:p>
    <w:p>
      <w:pPr>
        <w:keepNext w:val="0"/>
        <w:keepLines w:val="0"/>
        <w:pageBreakBefore w:val="0"/>
        <w:widowControl/>
        <w:kinsoku/>
        <w:wordWrap/>
        <w:overflowPunct/>
        <w:bidi w:val="0"/>
        <w:spacing w:line="240" w:lineRule="auto"/>
        <w:ind w:firstLine="0" w:firstLineChars="0"/>
        <w:jc w:val="left"/>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br w:type="page"/>
      </w:r>
    </w:p>
    <w:p>
      <w:pPr>
        <w:keepNext w:val="0"/>
        <w:keepLines w:val="0"/>
        <w:pageBreakBefore w:val="0"/>
        <w:widowControl w:val="0"/>
        <w:kinsoku/>
        <w:wordWrap/>
        <w:overflowPunct/>
        <w:bidi w:val="0"/>
        <w:spacing w:line="360" w:lineRule="exact"/>
        <w:ind w:firstLine="0" w:firstLineChars="0"/>
        <w:jc w:val="left"/>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附件</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.工程量报价单/工程量清单</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须与第七章报价清单保持一致</w:t>
      </w:r>
      <w:r>
        <w:rPr>
          <w:rFonts w:hint="eastAsia" w:ascii="宋体" w:hAnsi="宋体" w:eastAsia="宋体" w:cs="宋体"/>
          <w:b/>
          <w:bCs/>
          <w:color w:val="auto"/>
          <w:sz w:val="21"/>
          <w:szCs w:val="21"/>
          <w:highlight w:val="none"/>
          <w:lang w:eastAsia="zh-CN"/>
        </w:rPr>
        <w:t>）</w:t>
      </w:r>
    </w:p>
    <w:p>
      <w:pPr>
        <w:pStyle w:val="50"/>
        <w:ind w:firstLine="562" w:firstLineChars="200"/>
        <w:jc w:val="center"/>
        <w:rPr>
          <w:rFonts w:hint="default"/>
          <w:b/>
          <w:bCs/>
          <w:color w:val="auto"/>
          <w:sz w:val="28"/>
          <w:szCs w:val="36"/>
          <w:highlight w:val="none"/>
          <w:lang w:val="en-US" w:eastAsia="zh-CN"/>
        </w:rPr>
      </w:pPr>
      <w:r>
        <w:rPr>
          <w:rFonts w:hint="eastAsia" w:ascii="仿宋" w:hAnsi="仿宋" w:eastAsia="仿宋" w:cs="仿宋"/>
          <w:b/>
          <w:bCs/>
          <w:color w:val="auto"/>
          <w:sz w:val="28"/>
          <w:szCs w:val="28"/>
          <w:highlight w:val="none"/>
          <w:u w:val="none"/>
          <w:lang w:val="en-US" w:eastAsia="zh-CN"/>
        </w:rPr>
        <w:t>项目一</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u w:val="none"/>
          <w:lang w:val="en-US" w:eastAsia="zh-CN"/>
        </w:rPr>
        <w:t>大坦沙分公司三期离心脱水机房分离液管道维修项目</w:t>
      </w:r>
    </w:p>
    <w:tbl>
      <w:tblPr>
        <w:tblStyle w:val="23"/>
        <w:tblW w:w="5000" w:type="pct"/>
        <w:jc w:val="center"/>
        <w:shd w:val="clear" w:color="auto" w:fill="auto"/>
        <w:tblLayout w:type="autofit"/>
        <w:tblCellMar>
          <w:top w:w="0" w:type="dxa"/>
          <w:left w:w="0" w:type="dxa"/>
          <w:bottom w:w="0" w:type="dxa"/>
          <w:right w:w="0" w:type="dxa"/>
        </w:tblCellMar>
      </w:tblPr>
      <w:tblGrid>
        <w:gridCol w:w="527"/>
        <w:gridCol w:w="2532"/>
        <w:gridCol w:w="4496"/>
        <w:gridCol w:w="740"/>
        <w:gridCol w:w="573"/>
      </w:tblGrid>
      <w:tr>
        <w:tblPrEx>
          <w:shd w:val="clear" w:color="auto" w:fill="auto"/>
          <w:tblCellMar>
            <w:top w:w="0" w:type="dxa"/>
            <w:left w:w="0" w:type="dxa"/>
            <w:bottom w:w="0" w:type="dxa"/>
            <w:right w:w="0" w:type="dxa"/>
          </w:tblCellMar>
        </w:tblPrEx>
        <w:trPr>
          <w:trHeight w:val="360" w:hRule="atLeast"/>
          <w:jc w:val="center"/>
        </w:trPr>
        <w:tc>
          <w:tcPr>
            <w:tcW w:w="297"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42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534"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417"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323"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r>
      <w:tr>
        <w:tblPrEx>
          <w:shd w:val="clear" w:color="auto" w:fill="auto"/>
          <w:tblCellMar>
            <w:top w:w="0" w:type="dxa"/>
            <w:left w:w="0" w:type="dxa"/>
            <w:bottom w:w="0" w:type="dxa"/>
            <w:right w:w="0" w:type="dxa"/>
          </w:tblCellMar>
        </w:tblPrEx>
        <w:trPr>
          <w:trHeight w:val="360" w:hRule="atLeast"/>
          <w:jc w:val="center"/>
        </w:trPr>
        <w:tc>
          <w:tcPr>
            <w:tcW w:w="297"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14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253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41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32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r>
      <w:tr>
        <w:tblPrEx>
          <w:shd w:val="clear" w:color="auto" w:fill="auto"/>
          <w:tblCellMar>
            <w:top w:w="0" w:type="dxa"/>
            <w:left w:w="0" w:type="dxa"/>
            <w:bottom w:w="0" w:type="dxa"/>
            <w:right w:w="0" w:type="dxa"/>
          </w:tblCellMar>
        </w:tblPrEx>
        <w:trPr>
          <w:trHeight w:val="312" w:hRule="atLeast"/>
          <w:jc w:val="center"/>
        </w:trPr>
        <w:tc>
          <w:tcPr>
            <w:tcW w:w="297"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142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253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417"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32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r>
      <w:tr>
        <w:tblPrEx>
          <w:shd w:val="clear" w:color="auto" w:fill="auto"/>
          <w:tblCellMar>
            <w:top w:w="0" w:type="dxa"/>
            <w:left w:w="0" w:type="dxa"/>
            <w:bottom w:w="0" w:type="dxa"/>
            <w:right w:w="0" w:type="dxa"/>
          </w:tblCellMar>
        </w:tblPrEx>
        <w:trPr>
          <w:trHeight w:val="812" w:hRule="atLeast"/>
          <w:jc w:val="center"/>
        </w:trPr>
        <w:tc>
          <w:tcPr>
            <w:tcW w:w="297"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142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大坦沙分公司三期离心脱水机房分离液管道维修项目</w:t>
            </w:r>
          </w:p>
        </w:tc>
        <w:tc>
          <w:tcPr>
            <w:tcW w:w="2534"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left"/>
              <w:rPr>
                <w:rFonts w:hint="eastAsia" w:ascii="宋体" w:hAnsi="宋体" w:eastAsia="宋体" w:cs="宋体"/>
                <w:i w:val="0"/>
                <w:color w:val="auto"/>
                <w:sz w:val="20"/>
                <w:szCs w:val="20"/>
                <w:highlight w:val="none"/>
                <w:u w:val="none"/>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left"/>
              <w:rPr>
                <w:rFonts w:hint="eastAsia" w:ascii="宋体" w:hAnsi="宋体" w:eastAsia="宋体" w:cs="宋体"/>
                <w:i w:val="0"/>
                <w:color w:val="auto"/>
                <w:sz w:val="20"/>
                <w:szCs w:val="20"/>
                <w:highlight w:val="none"/>
                <w:u w:val="none"/>
              </w:rPr>
            </w:pPr>
          </w:p>
        </w:tc>
        <w:tc>
          <w:tcPr>
            <w:tcW w:w="323"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right"/>
              <w:rPr>
                <w:rFonts w:hint="eastAsia" w:ascii="宋体" w:hAnsi="宋体" w:eastAsia="宋体" w:cs="宋体"/>
                <w:i w:val="0"/>
                <w:color w:val="auto"/>
                <w:sz w:val="20"/>
                <w:szCs w:val="20"/>
                <w:highlight w:val="none"/>
                <w:u w:val="none"/>
              </w:rPr>
            </w:pPr>
          </w:p>
        </w:tc>
      </w:tr>
      <w:tr>
        <w:tblPrEx>
          <w:shd w:val="clear" w:color="auto" w:fill="auto"/>
          <w:tblCellMar>
            <w:top w:w="0" w:type="dxa"/>
            <w:left w:w="0" w:type="dxa"/>
            <w:bottom w:w="0" w:type="dxa"/>
            <w:right w:w="0" w:type="dxa"/>
          </w:tblCellMar>
        </w:tblPrEx>
        <w:trPr>
          <w:trHeight w:val="570" w:hRule="atLeast"/>
          <w:jc w:val="center"/>
        </w:trPr>
        <w:tc>
          <w:tcPr>
            <w:tcW w:w="297"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c>
          <w:tcPr>
            <w:tcW w:w="142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拆除路面</w:t>
            </w:r>
          </w:p>
        </w:tc>
        <w:tc>
          <w:tcPr>
            <w:tcW w:w="2534"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1.尺寸：3m*3m                 2.厚度：20cm</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323"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6</w:t>
            </w:r>
          </w:p>
        </w:tc>
      </w:tr>
      <w:tr>
        <w:tblPrEx>
          <w:shd w:val="clear" w:color="auto" w:fill="auto"/>
          <w:tblCellMar>
            <w:top w:w="0" w:type="dxa"/>
            <w:left w:w="0" w:type="dxa"/>
            <w:bottom w:w="0" w:type="dxa"/>
            <w:right w:w="0" w:type="dxa"/>
          </w:tblCellMar>
        </w:tblPrEx>
        <w:trPr>
          <w:trHeight w:val="570" w:hRule="atLeast"/>
          <w:jc w:val="center"/>
        </w:trPr>
        <w:tc>
          <w:tcPr>
            <w:tcW w:w="297"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c>
          <w:tcPr>
            <w:tcW w:w="142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水泥混凝土</w:t>
            </w:r>
          </w:p>
        </w:tc>
        <w:tc>
          <w:tcPr>
            <w:tcW w:w="2534"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1.尺寸：3m*3m                 2.厚度：20cm                   3.强度：C30</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m2</w:t>
            </w:r>
          </w:p>
        </w:tc>
        <w:tc>
          <w:tcPr>
            <w:tcW w:w="323"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r>
      <w:tr>
        <w:tblPrEx>
          <w:shd w:val="clear" w:color="auto" w:fill="auto"/>
          <w:tblCellMar>
            <w:top w:w="0" w:type="dxa"/>
            <w:left w:w="0" w:type="dxa"/>
            <w:bottom w:w="0" w:type="dxa"/>
            <w:right w:w="0" w:type="dxa"/>
          </w:tblCellMar>
        </w:tblPrEx>
        <w:trPr>
          <w:trHeight w:val="570" w:hRule="atLeast"/>
          <w:jc w:val="center"/>
        </w:trPr>
        <w:tc>
          <w:tcPr>
            <w:tcW w:w="297"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c>
          <w:tcPr>
            <w:tcW w:w="142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挖一般土方</w:t>
            </w:r>
          </w:p>
        </w:tc>
        <w:tc>
          <w:tcPr>
            <w:tcW w:w="2534"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1.尺寸：长6m*宽6m*高3m</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323"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108</w:t>
            </w:r>
          </w:p>
        </w:tc>
      </w:tr>
      <w:tr>
        <w:tblPrEx>
          <w:shd w:val="clear" w:color="auto" w:fill="auto"/>
          <w:tblCellMar>
            <w:top w:w="0" w:type="dxa"/>
            <w:left w:w="0" w:type="dxa"/>
            <w:bottom w:w="0" w:type="dxa"/>
            <w:right w:w="0" w:type="dxa"/>
          </w:tblCellMar>
        </w:tblPrEx>
        <w:trPr>
          <w:trHeight w:val="90" w:hRule="atLeast"/>
          <w:jc w:val="center"/>
        </w:trPr>
        <w:tc>
          <w:tcPr>
            <w:tcW w:w="297"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c>
          <w:tcPr>
            <w:tcW w:w="142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回填方</w:t>
            </w:r>
          </w:p>
        </w:tc>
        <w:tc>
          <w:tcPr>
            <w:tcW w:w="2534"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1.管道修复后土方回填            2.于管道底部作垫层处理</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323"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107.1</w:t>
            </w:r>
          </w:p>
        </w:tc>
      </w:tr>
      <w:tr>
        <w:tblPrEx>
          <w:shd w:val="clear" w:color="auto" w:fill="auto"/>
          <w:tblCellMar>
            <w:top w:w="0" w:type="dxa"/>
            <w:left w:w="0" w:type="dxa"/>
            <w:bottom w:w="0" w:type="dxa"/>
            <w:right w:w="0" w:type="dxa"/>
          </w:tblCellMar>
        </w:tblPrEx>
        <w:trPr>
          <w:trHeight w:val="570" w:hRule="atLeast"/>
          <w:jc w:val="center"/>
        </w:trPr>
        <w:tc>
          <w:tcPr>
            <w:tcW w:w="297"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lang w:val="en-US" w:eastAsia="zh-CN"/>
              </w:rPr>
            </w:pPr>
          </w:p>
        </w:tc>
        <w:tc>
          <w:tcPr>
            <w:tcW w:w="142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kern w:val="0"/>
                <w:sz w:val="20"/>
                <w:szCs w:val="20"/>
                <w:highlight w:val="none"/>
                <w:u w:val="none"/>
                <w:lang w:val="en-US" w:eastAsia="zh-CN" w:bidi="ar"/>
              </w:rPr>
              <w:t>回填方</w:t>
            </w:r>
          </w:p>
        </w:tc>
        <w:tc>
          <w:tcPr>
            <w:tcW w:w="2534"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1.管道底、面覆中砂30cm               2.长6m宽0.5m高0.3m</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kern w:val="0"/>
                <w:sz w:val="20"/>
                <w:szCs w:val="20"/>
                <w:highlight w:val="none"/>
                <w:u w:val="none"/>
                <w:lang w:val="en-US" w:eastAsia="zh-CN" w:bidi="ar"/>
              </w:rPr>
              <w:t>m3</w:t>
            </w:r>
          </w:p>
        </w:tc>
        <w:tc>
          <w:tcPr>
            <w:tcW w:w="323"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0.9</w:t>
            </w:r>
          </w:p>
        </w:tc>
      </w:tr>
      <w:tr>
        <w:tblPrEx>
          <w:shd w:val="clear" w:color="auto" w:fill="auto"/>
          <w:tblCellMar>
            <w:top w:w="0" w:type="dxa"/>
            <w:left w:w="0" w:type="dxa"/>
            <w:bottom w:w="0" w:type="dxa"/>
            <w:right w:w="0" w:type="dxa"/>
          </w:tblCellMar>
        </w:tblPrEx>
        <w:trPr>
          <w:trHeight w:val="570" w:hRule="atLeast"/>
          <w:jc w:val="center"/>
        </w:trPr>
        <w:tc>
          <w:tcPr>
            <w:tcW w:w="297"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auto"/>
                <w:sz w:val="20"/>
                <w:szCs w:val="20"/>
                <w:highlight w:val="none"/>
                <w:u w:val="none"/>
                <w:lang w:val="en-US" w:eastAsia="zh-CN"/>
              </w:rPr>
            </w:pPr>
          </w:p>
        </w:tc>
        <w:tc>
          <w:tcPr>
            <w:tcW w:w="142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kern w:val="0"/>
                <w:sz w:val="20"/>
                <w:szCs w:val="20"/>
                <w:highlight w:val="none"/>
                <w:u w:val="none"/>
                <w:lang w:val="en-US" w:eastAsia="zh-CN" w:bidi="ar"/>
              </w:rPr>
              <w:t>套管</w:t>
            </w:r>
          </w:p>
        </w:tc>
        <w:tc>
          <w:tcPr>
            <w:tcW w:w="2534"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1.尺寸：DN300               2.材质：球墨铸铁          3.适用于钢管                4.≥40cm</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kern w:val="0"/>
                <w:sz w:val="20"/>
                <w:szCs w:val="20"/>
                <w:highlight w:val="none"/>
                <w:u w:val="none"/>
                <w:lang w:val="en-US" w:eastAsia="zh-CN" w:bidi="ar"/>
              </w:rPr>
              <w:t>个</w:t>
            </w:r>
          </w:p>
        </w:tc>
        <w:tc>
          <w:tcPr>
            <w:tcW w:w="323"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1</w:t>
            </w:r>
          </w:p>
        </w:tc>
      </w:tr>
      <w:tr>
        <w:tblPrEx>
          <w:shd w:val="clear" w:color="auto" w:fill="auto"/>
          <w:tblCellMar>
            <w:top w:w="0" w:type="dxa"/>
            <w:left w:w="0" w:type="dxa"/>
            <w:bottom w:w="0" w:type="dxa"/>
            <w:right w:w="0" w:type="dxa"/>
          </w:tblCellMar>
        </w:tblPrEx>
        <w:trPr>
          <w:trHeight w:val="570" w:hRule="atLeast"/>
          <w:jc w:val="center"/>
        </w:trPr>
        <w:tc>
          <w:tcPr>
            <w:tcW w:w="297"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p>
        </w:tc>
        <w:tc>
          <w:tcPr>
            <w:tcW w:w="142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管道防腐蚀</w:t>
            </w:r>
          </w:p>
        </w:tc>
        <w:tc>
          <w:tcPr>
            <w:tcW w:w="2534"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1、手工除锈 轻锈</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2、红丹防锈底漆一遍</w:t>
            </w:r>
          </w:p>
          <w:p>
            <w:pPr>
              <w:keepNext w:val="0"/>
              <w:keepLines w:val="0"/>
              <w:widowControl/>
              <w:suppressLineNumbers w:val="0"/>
              <w:jc w:val="left"/>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3、弹性聚氨酯面漆两遍</w:t>
            </w: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m2</w:t>
            </w:r>
          </w:p>
        </w:tc>
        <w:tc>
          <w:tcPr>
            <w:tcW w:w="323"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5.652</w:t>
            </w:r>
          </w:p>
        </w:tc>
      </w:tr>
      <w:tr>
        <w:tblPrEx>
          <w:shd w:val="clear" w:color="auto" w:fill="auto"/>
          <w:tblCellMar>
            <w:top w:w="0" w:type="dxa"/>
            <w:left w:w="0" w:type="dxa"/>
            <w:bottom w:w="0" w:type="dxa"/>
            <w:right w:w="0" w:type="dxa"/>
          </w:tblCellMar>
        </w:tblPrEx>
        <w:trPr>
          <w:trHeight w:val="570" w:hRule="atLeast"/>
          <w:jc w:val="center"/>
        </w:trPr>
        <w:tc>
          <w:tcPr>
            <w:tcW w:w="297"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2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排水设施</w:t>
            </w:r>
          </w:p>
        </w:tc>
        <w:tc>
          <w:tcPr>
            <w:tcW w:w="2534"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left"/>
              <w:rPr>
                <w:rFonts w:hint="eastAsia" w:ascii="宋体" w:hAnsi="宋体" w:eastAsia="宋体" w:cs="宋体"/>
                <w:i w:val="0"/>
                <w:color w:val="auto"/>
                <w:kern w:val="0"/>
                <w:sz w:val="20"/>
                <w:szCs w:val="20"/>
                <w:highlight w:val="none"/>
                <w:u w:val="none"/>
                <w:lang w:val="en-US" w:eastAsia="zh-CN" w:bidi="ar"/>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项</w:t>
            </w:r>
          </w:p>
        </w:tc>
        <w:tc>
          <w:tcPr>
            <w:tcW w:w="323"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w:t>
            </w:r>
          </w:p>
        </w:tc>
      </w:tr>
      <w:tr>
        <w:tblPrEx>
          <w:shd w:val="clear" w:color="auto" w:fill="auto"/>
          <w:tblCellMar>
            <w:top w:w="0" w:type="dxa"/>
            <w:left w:w="0" w:type="dxa"/>
            <w:bottom w:w="0" w:type="dxa"/>
            <w:right w:w="0" w:type="dxa"/>
          </w:tblCellMar>
        </w:tblPrEx>
        <w:trPr>
          <w:trHeight w:val="570" w:hRule="atLeast"/>
          <w:jc w:val="center"/>
        </w:trPr>
        <w:tc>
          <w:tcPr>
            <w:tcW w:w="297"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2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高层施工增加</w:t>
            </w:r>
          </w:p>
        </w:tc>
        <w:tc>
          <w:tcPr>
            <w:tcW w:w="2534"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left"/>
              <w:rPr>
                <w:rFonts w:hint="eastAsia" w:ascii="宋体" w:hAnsi="宋体" w:eastAsia="宋体" w:cs="宋体"/>
                <w:i w:val="0"/>
                <w:color w:val="auto"/>
                <w:kern w:val="0"/>
                <w:sz w:val="20"/>
                <w:szCs w:val="20"/>
                <w:highlight w:val="none"/>
                <w:u w:val="none"/>
                <w:lang w:val="en-US" w:eastAsia="zh-CN" w:bidi="ar"/>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项</w:t>
            </w:r>
          </w:p>
        </w:tc>
        <w:tc>
          <w:tcPr>
            <w:tcW w:w="323"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w:t>
            </w:r>
          </w:p>
        </w:tc>
      </w:tr>
      <w:tr>
        <w:tblPrEx>
          <w:shd w:val="clear" w:color="auto" w:fill="auto"/>
          <w:tblCellMar>
            <w:top w:w="0" w:type="dxa"/>
            <w:left w:w="0" w:type="dxa"/>
            <w:bottom w:w="0" w:type="dxa"/>
            <w:right w:w="0" w:type="dxa"/>
          </w:tblCellMar>
        </w:tblPrEx>
        <w:trPr>
          <w:trHeight w:val="570" w:hRule="atLeast"/>
          <w:jc w:val="center"/>
        </w:trPr>
        <w:tc>
          <w:tcPr>
            <w:tcW w:w="297"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2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脚手架搭拆费</w:t>
            </w:r>
          </w:p>
        </w:tc>
        <w:tc>
          <w:tcPr>
            <w:tcW w:w="2534"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left"/>
              <w:rPr>
                <w:rFonts w:hint="eastAsia" w:ascii="宋体" w:hAnsi="宋体" w:eastAsia="宋体" w:cs="宋体"/>
                <w:i w:val="0"/>
                <w:color w:val="auto"/>
                <w:kern w:val="0"/>
                <w:sz w:val="20"/>
                <w:szCs w:val="20"/>
                <w:highlight w:val="none"/>
                <w:u w:val="none"/>
                <w:lang w:val="en-US" w:eastAsia="zh-CN" w:bidi="ar"/>
              </w:rPr>
            </w:pPr>
          </w:p>
        </w:tc>
        <w:tc>
          <w:tcPr>
            <w:tcW w:w="417"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项</w:t>
            </w:r>
          </w:p>
        </w:tc>
        <w:tc>
          <w:tcPr>
            <w:tcW w:w="323"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w:t>
            </w:r>
          </w:p>
        </w:tc>
      </w:tr>
    </w:tbl>
    <w:p>
      <w:pPr>
        <w:pStyle w:val="12"/>
        <w:widowControl w:val="0"/>
        <w:numPr>
          <w:ilvl w:val="0"/>
          <w:numId w:val="0"/>
        </w:numPr>
        <w:tabs>
          <w:tab w:val="left" w:pos="312"/>
        </w:tabs>
        <w:adjustRightInd w:val="0"/>
        <w:snapToGrid w:val="0"/>
        <w:spacing w:line="300" w:lineRule="auto"/>
        <w:jc w:val="center"/>
        <w:rPr>
          <w:rFonts w:hint="eastAsia"/>
          <w:b/>
          <w:bCs/>
          <w:color w:val="auto"/>
          <w:sz w:val="28"/>
          <w:szCs w:val="36"/>
          <w:highlight w:val="none"/>
          <w:lang w:val="en-US" w:eastAsia="zh-CN"/>
        </w:rPr>
      </w:pPr>
    </w:p>
    <w:p>
      <w:pPr>
        <w:pStyle w:val="3"/>
        <w:numPr>
          <w:ilvl w:val="0"/>
          <w:numId w:val="0"/>
        </w:numPr>
        <w:spacing w:line="360" w:lineRule="auto"/>
        <w:ind w:firstLine="562" w:firstLineChars="200"/>
        <w:jc w:val="center"/>
        <w:rPr>
          <w:rFonts w:hint="default"/>
          <w:b/>
          <w:bCs/>
          <w:color w:val="auto"/>
          <w:sz w:val="28"/>
          <w:szCs w:val="36"/>
          <w:highlight w:val="none"/>
          <w:lang w:val="en-US" w:eastAsia="zh-CN"/>
        </w:rPr>
      </w:pPr>
      <w:r>
        <w:rPr>
          <w:rFonts w:hint="eastAsia" w:ascii="仿宋" w:hAnsi="仿宋" w:eastAsia="仿宋" w:cs="仿宋"/>
          <w:b/>
          <w:bCs/>
          <w:color w:val="auto"/>
          <w:sz w:val="28"/>
          <w:szCs w:val="28"/>
          <w:highlight w:val="none"/>
          <w:u w:val="none"/>
          <w:lang w:val="en-US" w:eastAsia="zh-CN"/>
        </w:rPr>
        <w:t>项目二</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kern w:val="2"/>
          <w:sz w:val="28"/>
          <w:szCs w:val="28"/>
          <w:highlight w:val="none"/>
          <w:u w:val="none"/>
          <w:lang w:val="en-US" w:eastAsia="zh-CN" w:bidi="ar-SA"/>
        </w:rPr>
        <w:t>大坦沙分公司一二三期厂区排泥管道优化项目</w:t>
      </w:r>
    </w:p>
    <w:tbl>
      <w:tblPr>
        <w:tblStyle w:val="23"/>
        <w:tblW w:w="5000" w:type="pct"/>
        <w:jc w:val="center"/>
        <w:shd w:val="clear" w:color="auto" w:fill="auto"/>
        <w:tblLayout w:type="autofit"/>
        <w:tblCellMar>
          <w:top w:w="0" w:type="dxa"/>
          <w:left w:w="0" w:type="dxa"/>
          <w:bottom w:w="0" w:type="dxa"/>
          <w:right w:w="0" w:type="dxa"/>
        </w:tblCellMar>
      </w:tblPr>
      <w:tblGrid>
        <w:gridCol w:w="488"/>
        <w:gridCol w:w="2494"/>
        <w:gridCol w:w="4460"/>
        <w:gridCol w:w="702"/>
        <w:gridCol w:w="724"/>
      </w:tblGrid>
      <w:tr>
        <w:tblPrEx>
          <w:shd w:val="clear" w:color="auto" w:fill="auto"/>
          <w:tblCellMar>
            <w:top w:w="0" w:type="dxa"/>
            <w:left w:w="0" w:type="dxa"/>
            <w:bottom w:w="0" w:type="dxa"/>
            <w:right w:w="0" w:type="dxa"/>
          </w:tblCellMar>
        </w:tblPrEx>
        <w:trPr>
          <w:trHeight w:val="360" w:hRule="atLeast"/>
          <w:jc w:val="center"/>
        </w:trPr>
        <w:tc>
          <w:tcPr>
            <w:tcW w:w="280"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410"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51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400"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390"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r>
      <w:tr>
        <w:tblPrEx>
          <w:shd w:val="clear" w:color="auto" w:fill="auto"/>
          <w:tblCellMar>
            <w:top w:w="0" w:type="dxa"/>
            <w:left w:w="0" w:type="dxa"/>
            <w:bottom w:w="0" w:type="dxa"/>
            <w:right w:w="0" w:type="dxa"/>
          </w:tblCellMar>
        </w:tblPrEx>
        <w:trPr>
          <w:trHeight w:val="360" w:hRule="atLeast"/>
          <w:jc w:val="center"/>
        </w:trPr>
        <w:tc>
          <w:tcPr>
            <w:tcW w:w="28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141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251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40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39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r>
      <w:tr>
        <w:tblPrEx>
          <w:shd w:val="clear" w:color="auto" w:fill="auto"/>
          <w:tblCellMar>
            <w:top w:w="0" w:type="dxa"/>
            <w:left w:w="0" w:type="dxa"/>
            <w:bottom w:w="0" w:type="dxa"/>
            <w:right w:w="0" w:type="dxa"/>
          </w:tblCellMar>
        </w:tblPrEx>
        <w:trPr>
          <w:trHeight w:val="312" w:hRule="atLeast"/>
          <w:jc w:val="center"/>
        </w:trPr>
        <w:tc>
          <w:tcPr>
            <w:tcW w:w="28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141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251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40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39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r>
      <w:tr>
        <w:tblPrEx>
          <w:shd w:val="clear" w:color="auto" w:fill="auto"/>
          <w:tblCellMar>
            <w:top w:w="0" w:type="dxa"/>
            <w:left w:w="0" w:type="dxa"/>
            <w:bottom w:w="0" w:type="dxa"/>
            <w:right w:w="0" w:type="dxa"/>
          </w:tblCellMar>
        </w:tblPrEx>
        <w:trPr>
          <w:trHeight w:val="812"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jc w:val="center"/>
              <w:rPr>
                <w:rFonts w:hint="eastAsia" w:ascii="宋体" w:hAnsi="宋体" w:eastAsia="宋体" w:cs="宋体"/>
                <w:i w:val="0"/>
                <w:color w:val="auto"/>
                <w:sz w:val="20"/>
                <w:szCs w:val="20"/>
                <w:highlight w:val="none"/>
                <w:u w:val="none"/>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大坦沙分公司一二三期厂区排泥管道优化项目</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left"/>
              <w:rPr>
                <w:rFonts w:hint="eastAsia" w:ascii="宋体" w:hAnsi="宋体" w:eastAsia="宋体" w:cs="宋体"/>
                <w:i w:val="0"/>
                <w:color w:val="auto"/>
                <w:sz w:val="20"/>
                <w:szCs w:val="20"/>
                <w:highlight w:val="none"/>
                <w:u w:val="none"/>
              </w:rPr>
            </w:pP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left"/>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right"/>
              <w:rPr>
                <w:rFonts w:hint="eastAsia" w:ascii="宋体" w:hAnsi="宋体" w:eastAsia="宋体" w:cs="宋体"/>
                <w:i w:val="0"/>
                <w:color w:val="auto"/>
                <w:sz w:val="20"/>
                <w:szCs w:val="20"/>
                <w:highlight w:val="none"/>
                <w:u w:val="none"/>
              </w:rPr>
            </w:pP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草地开挖</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1、人工开挖：长6m*宽6m深0.8m</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2、回填26.8m³ ，人工夯实</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3、2m³外运20KM。</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28.8</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铺种草皮</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1、铺钟台弯草：28.8m2</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2、草皮保养 人工灌溉   6个月</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m2</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28.8</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阀门井堆砌</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1、尺寸：长1.2m*宽1.2m深0.5m</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2、墙厚度：12cm单砖墙</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3、墙体水泥批荡5cm</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座</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w:t>
            </w:r>
          </w:p>
        </w:tc>
      </w:tr>
      <w:tr>
        <w:tblPrEx>
          <w:shd w:val="clear" w:color="auto" w:fill="auto"/>
          <w:tblCellMar>
            <w:top w:w="0" w:type="dxa"/>
            <w:left w:w="0" w:type="dxa"/>
            <w:bottom w:w="0" w:type="dxa"/>
            <w:right w:w="0" w:type="dxa"/>
          </w:tblCellMar>
        </w:tblPrEx>
        <w:trPr>
          <w:trHeight w:val="631"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阀门井边涂黄黑警示标识</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阀门井边涂黄黑警示标识</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lang w:val="en-US" w:eastAsia="zh-CN"/>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kern w:val="0"/>
                <w:sz w:val="20"/>
                <w:szCs w:val="20"/>
                <w:highlight w:val="none"/>
                <w:u w:val="none"/>
                <w:lang w:val="en-US" w:eastAsia="zh-CN" w:bidi="ar"/>
              </w:rPr>
              <w:t>阀门井盖板及支架制作安装</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1、不锈钢花纹板，盖板尺寸1.3m*1.3m,厚度3mm</w:t>
            </w:r>
          </w:p>
          <w:p>
            <w:pPr>
              <w:keepNext w:val="0"/>
              <w:keepLines w:val="0"/>
              <w:widowControl/>
              <w:suppressLineNumbers w:val="0"/>
              <w:jc w:val="lef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2、不锈钢角钢骨架：40*40*4，7米</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kern w:val="0"/>
                <w:sz w:val="20"/>
                <w:szCs w:val="20"/>
                <w:highlight w:val="none"/>
                <w:u w:val="none"/>
                <w:lang w:val="en-US" w:eastAsia="zh-CN" w:bidi="ar"/>
              </w:rPr>
              <w:t>t</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0.05819</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auto"/>
                <w:sz w:val="20"/>
                <w:szCs w:val="20"/>
                <w:highlight w:val="none"/>
                <w:u w:val="none"/>
                <w:lang w:val="en-US" w:eastAsia="zh-CN"/>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kern w:val="0"/>
                <w:sz w:val="20"/>
                <w:szCs w:val="20"/>
                <w:highlight w:val="none"/>
                <w:u w:val="none"/>
                <w:lang w:val="en-US" w:eastAsia="zh-CN" w:bidi="ar"/>
              </w:rPr>
              <w:t>管道开孔</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DN300碳钢管开DN200孔</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kern w:val="0"/>
                <w:sz w:val="20"/>
                <w:szCs w:val="20"/>
                <w:highlight w:val="none"/>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2</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管道及管材敷设DN200</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1、材料及规格：DN200无缝钢管 厚度8MM ,长度 10m</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2、DN200无缝钢管弯头  4个</w:t>
            </w:r>
          </w:p>
          <w:p>
            <w:pPr>
              <w:keepNext w:val="0"/>
              <w:keepLines w:val="0"/>
              <w:widowControl/>
              <w:suppressLineNumbers w:val="0"/>
              <w:jc w:val="left"/>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3、敷设方式：暗敷</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m</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10</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球阀安装</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1、DN200球阀（阀门铸钢材质）</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2、配套不锈钢螺栓、垫片等附件</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阀门铸钢材质</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伸缩节安装</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1、不锈钢伸缩节DN200mm</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2、配套不锈钢螺栓、垫片等附件</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低压碳钢焊接法兰</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1、DN200法兰</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2、焊接在管口，用于安装DN200球阀</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DN300无缝钢管</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副</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管道敷设DN300</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1、材料及规格：DN300无缝钢管 厚度8MM ,长度 10m</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2、敷设方式：暗敷</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10</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潜水泵安装</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1、电压220V</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2、流量：≥2m³/h</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3、扬程≥10m</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4、适配DN50接头</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潜水泵排水管</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1、材料规格：DN50 pvc管</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2、敷设方式：暗敷</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80</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拆除路基层</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1、拆除砖路面基层：长80m宽0.5m，40m2.</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2、拆除废料外运：6.0m3</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m2</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40</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拆除路面</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1、机械开挖混凝土路面深度20cm，开挖量8m³</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2、废料外运：8m³</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m2</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40</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拆除路面 混凝土垫层恢复</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 xml:space="preserve">1、厚度:200mm </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2、碎石粒径综合考虑 C25</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m2</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40</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路基础铺草坪砖</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1、铺设草坪砖</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m2</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40</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电缆穿线管</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1、规格材料：DN20 pvc线管</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2、敷设方式：暗敷</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30</w:t>
            </w:r>
          </w:p>
        </w:tc>
      </w:tr>
      <w:tr>
        <w:tblPrEx>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潜水泵电缆敷设</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1、电缆：ZR-YJV-3*2MM2</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2、敷设方式：管内穿线</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30</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ABS翻盖电箱盒</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1、ABS翻盖电箱盒一套，内含16A漏电保护、空气开关各一个。</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w:t>
            </w:r>
          </w:p>
        </w:tc>
      </w:tr>
      <w:tr>
        <w:tblPrEx>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管道防腐蚀</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1、DN200无缝钢管10m，内外防腐</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2、DN300无缝钢管10m，内外防腐</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3、阀井1#内DN300钢管7m，除锈防腐</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4、手工除锈 轻锈</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5、红丹防锈底漆一遍</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6、弹性聚氨酯面漆两遍</w:t>
            </w: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m2</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44.6</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高层施工增加</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left"/>
              <w:rPr>
                <w:rFonts w:hint="eastAsia" w:ascii="宋体" w:hAnsi="宋体" w:eastAsia="宋体" w:cs="宋体"/>
                <w:i w:val="0"/>
                <w:color w:val="auto"/>
                <w:kern w:val="0"/>
                <w:sz w:val="20"/>
                <w:szCs w:val="20"/>
                <w:highlight w:val="none"/>
                <w:u w:val="none"/>
                <w:lang w:val="en-US" w:eastAsia="zh-CN" w:bidi="ar"/>
              </w:rPr>
            </w:pP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right"/>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w:t>
            </w:r>
          </w:p>
        </w:tc>
      </w:tr>
      <w:tr>
        <w:tblPrEx>
          <w:shd w:val="clear" w:color="auto" w:fill="auto"/>
          <w:tblCellMar>
            <w:top w:w="0" w:type="dxa"/>
            <w:left w:w="0" w:type="dxa"/>
            <w:bottom w:w="0" w:type="dxa"/>
            <w:right w:w="0" w:type="dxa"/>
          </w:tblCellMar>
        </w:tblPrEx>
        <w:trPr>
          <w:trHeight w:val="570" w:hRule="atLeast"/>
          <w:jc w:val="center"/>
        </w:trPr>
        <w:tc>
          <w:tcPr>
            <w:tcW w:w="280" w:type="pct"/>
            <w:tcBorders>
              <w:top w:val="single" w:color="000000" w:sz="4" w:space="0"/>
              <w:left w:val="single" w:color="000000" w:sz="8"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41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脚手架搭拆费</w:t>
            </w:r>
          </w:p>
        </w:tc>
        <w:tc>
          <w:tcPr>
            <w:tcW w:w="2518"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left"/>
              <w:rPr>
                <w:rFonts w:hint="eastAsia" w:ascii="宋体" w:hAnsi="宋体" w:eastAsia="宋体" w:cs="宋体"/>
                <w:i w:val="0"/>
                <w:color w:val="auto"/>
                <w:kern w:val="0"/>
                <w:sz w:val="20"/>
                <w:szCs w:val="20"/>
                <w:highlight w:val="none"/>
                <w:u w:val="none"/>
                <w:lang w:val="en-US" w:eastAsia="zh-CN" w:bidi="ar"/>
              </w:rPr>
            </w:pPr>
          </w:p>
        </w:tc>
        <w:tc>
          <w:tcPr>
            <w:tcW w:w="40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2" w:type="dxa"/>
              <w:left w:w="12" w:type="dxa"/>
              <w:right w:w="12" w:type="dxa"/>
            </w:tcMar>
            <w:vAlign w:val="center"/>
          </w:tcPr>
          <w:p>
            <w:pPr>
              <w:jc w:val="right"/>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w:t>
            </w:r>
          </w:p>
        </w:tc>
      </w:tr>
    </w:tbl>
    <w:p>
      <w:pPr>
        <w:pStyle w:val="12"/>
        <w:widowControl w:val="0"/>
        <w:numPr>
          <w:ilvl w:val="0"/>
          <w:numId w:val="0"/>
        </w:numPr>
        <w:tabs>
          <w:tab w:val="left" w:pos="312"/>
        </w:tabs>
        <w:adjustRightInd w:val="0"/>
        <w:snapToGrid w:val="0"/>
        <w:spacing w:line="300" w:lineRule="auto"/>
        <w:jc w:val="center"/>
        <w:rPr>
          <w:rFonts w:hint="eastAsia"/>
          <w:b/>
          <w:bCs/>
          <w:color w:val="auto"/>
          <w:sz w:val="28"/>
          <w:szCs w:val="36"/>
          <w:highlight w:val="none"/>
          <w:lang w:val="en-US" w:eastAsia="zh-CN"/>
        </w:rPr>
      </w:pPr>
    </w:p>
    <w:p>
      <w:pPr>
        <w:keepNext w:val="0"/>
        <w:keepLines w:val="0"/>
        <w:widowControl/>
        <w:suppressLineNumbers w:val="0"/>
        <w:wordWrap/>
        <w:spacing w:line="240" w:lineRule="auto"/>
        <w:jc w:val="center"/>
        <w:textAlignment w:val="center"/>
        <w:rPr>
          <w:rFonts w:hint="default"/>
          <w:b/>
          <w:bCs/>
          <w:color w:val="auto"/>
          <w:sz w:val="28"/>
          <w:szCs w:val="36"/>
          <w:highlight w:val="none"/>
          <w:lang w:val="en-US" w:eastAsia="zh-CN"/>
        </w:rPr>
      </w:pPr>
      <w:r>
        <w:rPr>
          <w:rFonts w:hint="eastAsia" w:ascii="仿宋" w:hAnsi="仿宋" w:eastAsia="仿宋" w:cs="仿宋"/>
          <w:b/>
          <w:bCs/>
          <w:color w:val="auto"/>
          <w:sz w:val="28"/>
          <w:szCs w:val="28"/>
          <w:highlight w:val="none"/>
          <w:u w:val="none"/>
          <w:lang w:val="en-US" w:eastAsia="zh-CN"/>
        </w:rPr>
        <w:t>项目三</w:t>
      </w:r>
      <w:r>
        <w:rPr>
          <w:rFonts w:hint="eastAsia" w:ascii="仿宋" w:hAnsi="仿宋" w:eastAsia="仿宋" w:cs="仿宋"/>
          <w:b/>
          <w:bCs/>
          <w:color w:val="auto"/>
          <w:sz w:val="28"/>
          <w:szCs w:val="28"/>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大坦沙分公司一期平流式沉砂池盖板维修项目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3"/>
        <w:gridCol w:w="2118"/>
        <w:gridCol w:w="3887"/>
        <w:gridCol w:w="748"/>
        <w:gridCol w:w="13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5000" w:type="pct"/>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548"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6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14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1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72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54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6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1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2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 w:hRule="atLeast"/>
        </w:trPr>
        <w:tc>
          <w:tcPr>
            <w:tcW w:w="54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6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1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2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（一）平流式沉砂池</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盖板及密封条拆除</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1.玻璃纤维盖板拆除</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2.橡胶垫片密封条拆除</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原有反应池盖板支架拆除</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1.原有反应池盖板支架拆除</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3"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吊挂饰面</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1.浅灰色树脂瓦盖板（异形）</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2.厚度：国标3mm厚</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3.聚酯密封压条（橡胶垫，带式压滤机滤布材质）：400mm宽，厚度不少于3mm，172m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4.密封条压条304不锈钢（宽450mm、厚2.5mm）：172m</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4"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不锈钢支架</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1.骨架安装及焊制</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2.盖板骨架（304不锈钢方钢管60*40*3mm等）</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3.包含不锈钢螺丝自攻螺丝，膨胀螺丝。檀条间距不大于600mm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4.达到具体实施方案和图纸要求</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平推式窗口骨架制作</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1.平推式窗口不锈钢骨架制作</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2.规格：2900*2000mm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3.包含窗导轨</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平推窗框材质304不锈钢，窗PE材质</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1.平推窗框材质304不锈钢，窗PE材质</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2.窗规格：1450*1000mm</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花纹钢板（304不锈钢）</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1.花纹钢板（304不锈钢）</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2.不锈钢骨架方形钢管40*30</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3.花纹钢板厚度：3mm</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（二）二期反应池盖板更换</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石板搬运</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1.石板搬运</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2.运距：综合考虑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1"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304不锈钢盖板制作</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1.304不锈钢盖板制作</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2.规格：700*1650mm</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3.带不锈钢格栅板骨架50*40*3</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4.数量：12块</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trPr>
        <w:tc>
          <w:tcPr>
            <w:tcW w:w="54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16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304不锈钢封堵盖板</w:t>
            </w:r>
          </w:p>
        </w:tc>
        <w:tc>
          <w:tcPr>
            <w:tcW w:w="21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1.304不锈钢封堵盖板</w:t>
            </w:r>
          </w:p>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2.厚度：2mm</w:t>
            </w:r>
          </w:p>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3.不锈钢角铁50*40*2</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7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r>
    </w:tbl>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rPr>
          <w:rFonts w:hint="eastAsia"/>
          <w:color w:val="auto"/>
          <w:highlight w:val="none"/>
        </w:rPr>
      </w:pPr>
      <w:bookmarkStart w:id="87" w:name="_Toc6230"/>
      <w:bookmarkStart w:id="88" w:name="_Toc16552"/>
      <w:bookmarkStart w:id="89" w:name="_Toc28358"/>
      <w:bookmarkStart w:id="90" w:name="_Toc1563"/>
      <w:bookmarkStart w:id="91" w:name="_Toc5129"/>
      <w:bookmarkStart w:id="92" w:name="_Toc12169"/>
      <w:bookmarkStart w:id="93" w:name="_Toc21847"/>
      <w:bookmarkStart w:id="94" w:name="_Toc8147"/>
      <w:bookmarkStart w:id="95" w:name="_Toc30824"/>
      <w:bookmarkStart w:id="96" w:name="_Toc23515"/>
      <w:bookmarkStart w:id="97" w:name="_Toc3723"/>
    </w:p>
    <w:p>
      <w:pPr>
        <w:pStyle w:val="4"/>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87"/>
      <w:bookmarkEnd w:id="88"/>
      <w:bookmarkEnd w:id="89"/>
      <w:bookmarkEnd w:id="90"/>
      <w:bookmarkEnd w:id="91"/>
      <w:bookmarkEnd w:id="92"/>
      <w:bookmarkEnd w:id="93"/>
      <w:bookmarkEnd w:id="94"/>
      <w:bookmarkEnd w:id="95"/>
      <w:bookmarkEnd w:id="96"/>
      <w:bookmarkEnd w:id="97"/>
    </w:p>
    <w:p>
      <w:pPr>
        <w:pStyle w:val="38"/>
        <w:rPr>
          <w:color w:val="auto"/>
          <w:highlight w:val="none"/>
        </w:rPr>
      </w:pPr>
    </w:p>
    <w:p>
      <w:pPr>
        <w:pStyle w:val="4"/>
        <w:rPr>
          <w:color w:val="auto"/>
          <w:highlight w:val="none"/>
        </w:rPr>
      </w:pPr>
      <w:bookmarkStart w:id="98" w:name="_Toc87616388"/>
      <w:bookmarkStart w:id="99" w:name="_Toc12610"/>
      <w:bookmarkStart w:id="100" w:name="_Toc22764"/>
      <w:bookmarkStart w:id="101" w:name="_Toc24815"/>
      <w:bookmarkStart w:id="102" w:name="_Toc17119"/>
      <w:bookmarkStart w:id="103" w:name="_Toc5342"/>
      <w:bookmarkStart w:id="104" w:name="_Toc24490"/>
      <w:bookmarkStart w:id="105" w:name="_Toc12769"/>
      <w:bookmarkStart w:id="106" w:name="_Toc31564"/>
      <w:bookmarkStart w:id="107" w:name="_Toc88209951"/>
      <w:bookmarkStart w:id="108" w:name="_Toc10840"/>
      <w:bookmarkStart w:id="109" w:name="_Toc30157"/>
      <w:bookmarkStart w:id="110" w:name="_Toc21675"/>
      <w:r>
        <w:rPr>
          <w:rFonts w:hint="eastAsia"/>
          <w:color w:val="auto"/>
          <w:highlight w:val="none"/>
        </w:rPr>
        <w:t>响应文件</w:t>
      </w:r>
      <w:r>
        <w:rPr>
          <w:rFonts w:hint="eastAsia"/>
          <w:color w:val="auto"/>
          <w:highlight w:val="none"/>
          <w:lang w:val="en-US" w:eastAsia="zh-CN"/>
        </w:rPr>
        <w:t>格式要求</w:t>
      </w:r>
      <w:bookmarkEnd w:id="98"/>
      <w:bookmarkEnd w:id="99"/>
      <w:bookmarkEnd w:id="100"/>
      <w:bookmarkEnd w:id="101"/>
      <w:bookmarkEnd w:id="102"/>
      <w:bookmarkEnd w:id="103"/>
      <w:bookmarkEnd w:id="104"/>
      <w:bookmarkEnd w:id="105"/>
      <w:bookmarkEnd w:id="106"/>
      <w:bookmarkEnd w:id="107"/>
      <w:bookmarkEnd w:id="108"/>
      <w:bookmarkEnd w:id="109"/>
      <w:bookmarkEnd w:id="110"/>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1" w:name="_Toc88209952"/>
      <w:bookmarkStart w:id="112" w:name="_Toc87616389"/>
      <w:r>
        <w:rPr>
          <w:rFonts w:hint="eastAsia" w:ascii="仿宋_GB2312" w:eastAsia="仿宋_GB2312"/>
          <w:color w:val="auto"/>
          <w:sz w:val="28"/>
          <w:szCs w:val="28"/>
          <w:highlight w:val="none"/>
        </w:rPr>
        <w:t>1.响应函</w:t>
      </w:r>
      <w:bookmarkEnd w:id="111"/>
      <w:bookmarkEnd w:id="112"/>
    </w:p>
    <w:p>
      <w:pPr>
        <w:spacing w:line="600" w:lineRule="exact"/>
        <w:rPr>
          <w:rFonts w:hint="eastAsia" w:ascii="仿宋_GB2312" w:eastAsia="仿宋_GB2312"/>
          <w:color w:val="auto"/>
          <w:sz w:val="28"/>
          <w:szCs w:val="28"/>
          <w:highlight w:val="none"/>
        </w:rPr>
      </w:pPr>
      <w:bookmarkStart w:id="113" w:name="_Toc87616390"/>
      <w:bookmarkStart w:id="114" w:name="_Toc88209953"/>
      <w:r>
        <w:rPr>
          <w:rFonts w:hint="eastAsia" w:ascii="仿宋_GB2312" w:eastAsia="仿宋_GB2312"/>
          <w:color w:val="auto"/>
          <w:sz w:val="28"/>
          <w:szCs w:val="28"/>
          <w:highlight w:val="none"/>
        </w:rPr>
        <w:t>2.法定代表人证明或授权委托书</w:t>
      </w:r>
      <w:bookmarkEnd w:id="113"/>
      <w:bookmarkEnd w:id="114"/>
      <w:bookmarkStart w:id="115" w:name="_Toc87616393"/>
      <w:bookmarkStart w:id="116"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5"/>
      <w:bookmarkEnd w:id="116"/>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9"/>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6"/>
        <w:rPr>
          <w:rFonts w:asciiTheme="minorEastAsia" w:hAnsiTheme="minorEastAsia" w:eastAsiaTheme="minorEastAsia"/>
          <w:color w:val="auto"/>
          <w:sz w:val="28"/>
          <w:szCs w:val="28"/>
          <w:highlight w:val="none"/>
        </w:rPr>
      </w:pPr>
      <w:bookmarkStart w:id="117" w:name="_Toc6313"/>
      <w:bookmarkStart w:id="118" w:name="_Toc12665"/>
      <w:bookmarkStart w:id="119" w:name="_Toc88209957"/>
      <w:bookmarkStart w:id="120" w:name="_Toc28619645"/>
      <w:bookmarkStart w:id="121" w:name="_Toc87616394"/>
      <w:r>
        <w:rPr>
          <w:rFonts w:hint="eastAsia" w:asciiTheme="minorEastAsia" w:hAnsiTheme="minorEastAsia" w:eastAsiaTheme="minorEastAsia"/>
          <w:color w:val="auto"/>
          <w:sz w:val="28"/>
          <w:szCs w:val="28"/>
          <w:highlight w:val="none"/>
        </w:rPr>
        <w:t>1.响应函</w:t>
      </w:r>
      <w:bookmarkEnd w:id="117"/>
      <w:bookmarkEnd w:id="118"/>
      <w:bookmarkEnd w:id="119"/>
      <w:bookmarkEnd w:id="120"/>
      <w:bookmarkEnd w:id="12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22" w:name="_Toc22527"/>
      <w:bookmarkStart w:id="123" w:name="_Toc87616395"/>
      <w:bookmarkStart w:id="124" w:name="_Toc88209958"/>
      <w:bookmarkStart w:id="125" w:name="_Toc29833"/>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2"/>
      <w:bookmarkEnd w:id="123"/>
      <w:bookmarkEnd w:id="124"/>
      <w:bookmarkEnd w:id="125"/>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0"/>
        <w:snapToGrid w:val="0"/>
        <w:spacing w:after="0" w:line="54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3"/>
        <w:snapToGrid w:val="0"/>
        <w:spacing w:line="54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9"/>
        <w:snapToGrid w:val="0"/>
        <w:spacing w:after="0" w:line="54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3"/>
        <w:snapToGrid w:val="0"/>
        <w:spacing w:line="54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3"/>
        <w:snapToGrid w:val="0"/>
        <w:spacing w:line="54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3"/>
        <w:snapToGrid w:val="0"/>
        <w:spacing w:line="54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3"/>
        <w:snapToGrid w:val="0"/>
        <w:spacing w:line="54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3"/>
        <w:snapToGrid w:val="0"/>
        <w:spacing w:line="600" w:lineRule="exact"/>
        <w:ind w:firstLine="3907" w:firstLineChars="1221"/>
        <w:rPr>
          <w:rFonts w:ascii="仿宋_GB2312" w:hAnsi="宋体" w:eastAsia="仿宋_GB2312" w:cs="Times New Roman"/>
          <w:color w:val="auto"/>
          <w:sz w:val="32"/>
          <w:szCs w:val="32"/>
          <w:highlight w:val="none"/>
        </w:rPr>
      </w:pPr>
    </w:p>
    <w:p>
      <w:pPr>
        <w:pStyle w:val="13"/>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8"/>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6" w:name="_Toc88209963"/>
      <w:bookmarkStart w:id="127" w:name="_Toc87616400"/>
      <w:bookmarkStart w:id="128" w:name="_Toc8086"/>
      <w:bookmarkStart w:id="129"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6"/>
      <w:bookmarkEnd w:id="127"/>
      <w:bookmarkEnd w:id="128"/>
      <w:bookmarkEnd w:id="12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30"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30"/>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lang w:val="en-GB" w:eastAsia="zh-CN"/>
        </w:rPr>
        <w:t>广州市净水有限公司大坦沙分公司2022年日常维护项目（10月市政工程类）</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13"/>
        <w:snapToGrid w:val="0"/>
        <w:spacing w:line="600" w:lineRule="exact"/>
        <w:ind w:firstLine="0" w:firstLineChars="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pStyle w:val="22"/>
        <w:ind w:firstLine="0"/>
        <w:rPr>
          <w:rFonts w:hint="default" w:ascii="仿宋_GB2312" w:eastAsia="仿宋_GB2312" w:hAnsiTheme="minorEastAsia"/>
          <w:color w:val="auto"/>
          <w:sz w:val="28"/>
          <w:szCs w:val="28"/>
          <w:highlight w:val="none"/>
          <w:lang w:val="en-US" w:eastAsia="zh-CN"/>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2"/>
        <w:rPr>
          <w:rFonts w:hint="default" w:ascii="仿宋_GB2312" w:eastAsia="仿宋_GB2312" w:hAnsiTheme="minorEastAsia"/>
          <w:color w:val="auto"/>
          <w:sz w:val="28"/>
          <w:szCs w:val="28"/>
          <w:highlight w:val="none"/>
          <w:lang w:val="en-US" w:eastAsia="zh-CN"/>
        </w:rPr>
      </w:pPr>
    </w:p>
    <w:p>
      <w:pPr>
        <w:pStyle w:val="22"/>
        <w:rPr>
          <w:rFonts w:hint="default" w:ascii="仿宋_GB2312" w:eastAsia="仿宋_GB2312" w:hAnsiTheme="minorEastAsia"/>
          <w:color w:val="auto"/>
          <w:sz w:val="28"/>
          <w:szCs w:val="28"/>
          <w:highlight w:val="none"/>
          <w:lang w:val="en-US" w:eastAsia="zh-CN"/>
        </w:rPr>
      </w:pPr>
    </w:p>
    <w:p>
      <w:pPr>
        <w:pStyle w:val="22"/>
        <w:rPr>
          <w:rFonts w:hint="default" w:ascii="仿宋_GB2312" w:eastAsia="仿宋_GB2312" w:hAnsiTheme="minorEastAsia"/>
          <w:color w:val="auto"/>
          <w:sz w:val="28"/>
          <w:szCs w:val="28"/>
          <w:highlight w:val="none"/>
          <w:lang w:val="en-US" w:eastAsia="zh-CN"/>
        </w:rPr>
      </w:pPr>
    </w:p>
    <w:p>
      <w:pPr>
        <w:rPr>
          <w:rFonts w:hint="eastAsia" w:asciiTheme="minorEastAsia" w:hAnsiTheme="minorEastAsia" w:eastAsiaTheme="minorEastAsia"/>
          <w:color w:val="auto"/>
          <w:sz w:val="28"/>
          <w:szCs w:val="28"/>
          <w:highlight w:val="none"/>
        </w:rPr>
      </w:pPr>
      <w:bookmarkStart w:id="131" w:name="_Toc32430"/>
      <w:bookmarkStart w:id="132" w:name="_Toc19423"/>
      <w:r>
        <w:rPr>
          <w:rFonts w:hint="eastAsia" w:ascii="仿宋_GB2312" w:eastAsia="仿宋_GB2312" w:hAnsiTheme="minorEastAsia"/>
          <w:color w:val="auto"/>
          <w:sz w:val="28"/>
          <w:szCs w:val="28"/>
          <w:highlight w:val="none"/>
          <w:lang w:val="en-US" w:eastAsia="zh-CN"/>
        </w:rPr>
        <w:br w:type="page"/>
      </w:r>
    </w:p>
    <w:bookmarkEnd w:id="131"/>
    <w:bookmarkEnd w:id="132"/>
    <w:p>
      <w:pPr>
        <w:pStyle w:val="6"/>
        <w:numPr>
          <w:ilvl w:val="0"/>
          <w:numId w:val="7"/>
        </w:numPr>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报价表</w:t>
      </w:r>
    </w:p>
    <w:p>
      <w:pPr>
        <w:pStyle w:val="50"/>
        <w:ind w:firstLine="562" w:firstLineChars="200"/>
        <w:jc w:val="center"/>
        <w:rPr>
          <w:rFonts w:hint="default"/>
          <w:b/>
          <w:bCs/>
          <w:color w:val="auto"/>
          <w:sz w:val="28"/>
          <w:szCs w:val="36"/>
          <w:highlight w:val="none"/>
          <w:lang w:val="en-US" w:eastAsia="zh-CN"/>
        </w:rPr>
      </w:pPr>
      <w:r>
        <w:rPr>
          <w:rFonts w:hint="eastAsia" w:ascii="仿宋" w:hAnsi="仿宋" w:eastAsia="仿宋" w:cs="仿宋"/>
          <w:b/>
          <w:bCs/>
          <w:color w:val="auto"/>
          <w:sz w:val="28"/>
          <w:szCs w:val="28"/>
          <w:highlight w:val="none"/>
          <w:u w:val="none"/>
          <w:lang w:val="en-US" w:eastAsia="zh-CN"/>
        </w:rPr>
        <w:t>项目一</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kern w:val="2"/>
          <w:sz w:val="28"/>
          <w:szCs w:val="28"/>
          <w:highlight w:val="none"/>
          <w:u w:val="none"/>
          <w:lang w:val="en-US" w:eastAsia="zh-CN" w:bidi="ar-SA"/>
        </w:rPr>
        <w:t>大坦沙分公司三期离心脱水机房分离液管道维修项目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74"/>
        <w:gridCol w:w="4039"/>
        <w:gridCol w:w="101"/>
        <w:gridCol w:w="1445"/>
        <w:gridCol w:w="664"/>
        <w:gridCol w:w="15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1"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工程名称：大坦沙分公司三期离心脱水机房分离液管道维修项目</w:t>
            </w:r>
          </w:p>
        </w:tc>
        <w:tc>
          <w:tcPr>
            <w:tcW w:w="871"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6"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05"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33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18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872"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439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招标控制价合计=1+2+3+5</w:t>
            </w:r>
          </w:p>
        </w:tc>
      </w:tr>
    </w:tbl>
    <w:p>
      <w:pPr>
        <w:pStyle w:val="12"/>
        <w:widowControl w:val="0"/>
        <w:numPr>
          <w:ilvl w:val="0"/>
          <w:numId w:val="0"/>
        </w:numPr>
        <w:tabs>
          <w:tab w:val="left" w:pos="312"/>
        </w:tabs>
        <w:adjustRightInd w:val="0"/>
        <w:snapToGrid w:val="0"/>
        <w:spacing w:line="300" w:lineRule="auto"/>
        <w:jc w:val="center"/>
        <w:rPr>
          <w:rFonts w:hint="eastAsia"/>
          <w:b/>
          <w:bCs/>
          <w:color w:val="auto"/>
          <w:sz w:val="28"/>
          <w:szCs w:val="36"/>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3"/>
        <w:gridCol w:w="1328"/>
        <w:gridCol w:w="1226"/>
        <w:gridCol w:w="1986"/>
        <w:gridCol w:w="263"/>
        <w:gridCol w:w="433"/>
        <w:gridCol w:w="753"/>
        <w:gridCol w:w="98"/>
        <w:gridCol w:w="713"/>
        <w:gridCol w:w="804"/>
        <w:gridCol w:w="6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kern w:val="0"/>
                <w:sz w:val="40"/>
                <w:szCs w:val="40"/>
                <w:highlight w:val="none"/>
                <w:u w:val="none"/>
                <w:lang w:val="en-US" w:eastAsia="zh-CN" w:bidi="ar"/>
              </w:rPr>
            </w:pPr>
          </w:p>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工程名称：大坦沙分公司三期离心脱水机房分离液管道维修项目</w:t>
            </w:r>
          </w:p>
        </w:tc>
        <w:tc>
          <w:tcPr>
            <w:tcW w:w="87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3"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4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9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267"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424"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298"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3"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6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3"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3"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6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3"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041001001001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拆除路面</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1.尺寸：3m*3m                 2.厚度：20cm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040203007001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水泥混凝土</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1.尺寸：3m*3m                 2.厚度：20cm                   3.强度：C30</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010101002001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挖一般土方</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1.尺寸：长6m*宽6m*高3m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108</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010103001001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回填方</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1.管道修复后土方回填            2.于管道底部作垫层处理</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107.1</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010103001002</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回填方</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1.管道底、面覆中砂30cm               2.长6m宽0.5m高0.3m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0.9</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031002003001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套管</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1.尺寸：DN300               2.材质：球墨铸铁          3.适用于钢管                4.≥40cm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031202002001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管道防腐蚀</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1、手工除锈 轻锈</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2、红丹防锈底漆一遍</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3、弹性聚氨酯面漆两遍</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5.652</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排水设施</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031302007001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高层施工增加</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031301017001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脚手架搭拆费</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单价措施合计</w:t>
            </w:r>
          </w:p>
        </w:tc>
        <w:tc>
          <w:tcPr>
            <w:tcW w:w="12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54" w:type="pct"/>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54"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453"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1"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p>
      <w:pPr>
        <w:pStyle w:val="12"/>
        <w:widowControl w:val="0"/>
        <w:numPr>
          <w:ilvl w:val="0"/>
          <w:numId w:val="0"/>
        </w:numPr>
        <w:tabs>
          <w:tab w:val="left" w:pos="312"/>
        </w:tabs>
        <w:adjustRightInd w:val="0"/>
        <w:snapToGrid w:val="0"/>
        <w:spacing w:line="300" w:lineRule="auto"/>
        <w:jc w:val="both"/>
        <w:rPr>
          <w:rFonts w:hint="eastAsia"/>
          <w:b/>
          <w:bCs/>
          <w:color w:val="auto"/>
          <w:sz w:val="28"/>
          <w:szCs w:val="36"/>
          <w:highlight w:val="none"/>
          <w:lang w:val="en-US" w:eastAsia="zh-CN"/>
        </w:rPr>
      </w:pPr>
    </w:p>
    <w:p>
      <w:pPr>
        <w:pStyle w:val="12"/>
        <w:widowControl w:val="0"/>
        <w:numPr>
          <w:ilvl w:val="0"/>
          <w:numId w:val="0"/>
        </w:numPr>
        <w:tabs>
          <w:tab w:val="left" w:pos="312"/>
        </w:tabs>
        <w:adjustRightInd w:val="0"/>
        <w:snapToGrid w:val="0"/>
        <w:spacing w:line="300" w:lineRule="auto"/>
        <w:jc w:val="center"/>
        <w:rPr>
          <w:rFonts w:hint="eastAsia"/>
          <w:b/>
          <w:bCs/>
          <w:color w:val="auto"/>
          <w:sz w:val="28"/>
          <w:szCs w:val="36"/>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0"/>
        <w:gridCol w:w="1230"/>
        <w:gridCol w:w="1578"/>
        <w:gridCol w:w="1271"/>
        <w:gridCol w:w="493"/>
        <w:gridCol w:w="181"/>
        <w:gridCol w:w="848"/>
        <w:gridCol w:w="496"/>
        <w:gridCol w:w="333"/>
        <w:gridCol w:w="825"/>
        <w:gridCol w:w="10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1"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工程名称：大坦沙分公司三期离心脱水机房分离液管道维修项目</w:t>
            </w:r>
          </w:p>
        </w:tc>
        <w:tc>
          <w:tcPr>
            <w:tcW w:w="87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31"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5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9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72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8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费率</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48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金额</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(元)</w:t>
            </w:r>
          </w:p>
        </w:tc>
        <w:tc>
          <w:tcPr>
            <w:tcW w:w="47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调整费率</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46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调整后金额</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(元)</w:t>
            </w:r>
          </w:p>
        </w:tc>
        <w:tc>
          <w:tcPr>
            <w:tcW w:w="585"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LSSGCSF00001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35.77</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1843.53</w:t>
            </w: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031301010001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安装与生产同时进行增加费用</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031301011001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在有害身体健康环境中施工增加费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TSSGBWZJF001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在地下（暗）室、设备及大口径管道内等特殊施工部位进行施工增加费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粤031302008001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031302002001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JTGRSGZJF001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交通干扰工程施工增加费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粤031302009001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DXGXJCJXF001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331"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10</w:t>
            </w:r>
          </w:p>
        </w:tc>
        <w:tc>
          <w:tcPr>
            <w:tcW w:w="655"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QTFY00000001</w:t>
            </w:r>
          </w:p>
        </w:tc>
        <w:tc>
          <w:tcPr>
            <w:tcW w:w="893"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其他费用</w:t>
            </w:r>
          </w:p>
        </w:tc>
        <w:tc>
          <w:tcPr>
            <w:tcW w:w="720"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8"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8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bl>
    <w:p>
      <w:pPr>
        <w:pStyle w:val="12"/>
        <w:widowControl w:val="0"/>
        <w:numPr>
          <w:ilvl w:val="0"/>
          <w:numId w:val="0"/>
        </w:numPr>
        <w:tabs>
          <w:tab w:val="left" w:pos="312"/>
        </w:tabs>
        <w:adjustRightInd w:val="0"/>
        <w:snapToGrid w:val="0"/>
        <w:spacing w:line="300" w:lineRule="auto"/>
        <w:jc w:val="center"/>
        <w:rPr>
          <w:rFonts w:hint="eastAsia"/>
          <w:b/>
          <w:bCs/>
          <w:color w:val="auto"/>
          <w:sz w:val="28"/>
          <w:szCs w:val="36"/>
          <w:highlight w:val="none"/>
          <w:lang w:val="en-US" w:eastAsia="zh-CN"/>
        </w:rPr>
      </w:pPr>
    </w:p>
    <w:p>
      <w:pPr>
        <w:pStyle w:val="3"/>
        <w:numPr>
          <w:ilvl w:val="0"/>
          <w:numId w:val="0"/>
        </w:numPr>
        <w:spacing w:line="360" w:lineRule="auto"/>
        <w:ind w:firstLine="562" w:firstLineChars="200"/>
        <w:jc w:val="center"/>
        <w:rPr>
          <w:rFonts w:hint="default"/>
          <w:b/>
          <w:bCs/>
          <w:color w:val="auto"/>
          <w:sz w:val="28"/>
          <w:szCs w:val="36"/>
          <w:highlight w:val="none"/>
          <w:lang w:val="en-US" w:eastAsia="zh-CN"/>
        </w:rPr>
      </w:pPr>
      <w:r>
        <w:rPr>
          <w:rFonts w:hint="eastAsia" w:ascii="仿宋" w:hAnsi="仿宋" w:eastAsia="仿宋" w:cs="仿宋"/>
          <w:b/>
          <w:bCs/>
          <w:color w:val="auto"/>
          <w:sz w:val="28"/>
          <w:szCs w:val="28"/>
          <w:highlight w:val="none"/>
          <w:u w:val="none"/>
          <w:lang w:val="en-US" w:eastAsia="zh-CN"/>
        </w:rPr>
        <w:t>项目二</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u w:val="none"/>
          <w:lang w:val="en-US" w:eastAsia="zh-CN"/>
        </w:rPr>
        <w:t>大坦沙分公司一二三期厂区排泥管道优化项目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2"/>
        <w:gridCol w:w="500"/>
        <w:gridCol w:w="827"/>
        <w:gridCol w:w="1226"/>
        <w:gridCol w:w="1986"/>
        <w:gridCol w:w="101"/>
        <w:gridCol w:w="162"/>
        <w:gridCol w:w="433"/>
        <w:gridCol w:w="753"/>
        <w:gridCol w:w="98"/>
        <w:gridCol w:w="664"/>
        <w:gridCol w:w="43"/>
        <w:gridCol w:w="804"/>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1"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工程名称：大坦沙分公司一二三期厂区排泥管道优化项目</w:t>
            </w:r>
          </w:p>
        </w:tc>
        <w:tc>
          <w:tcPr>
            <w:tcW w:w="871"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6"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05"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333"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188"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872"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33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18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2"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4394" w:type="pct"/>
            <w:gridSpan w:val="1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tabs>
                <w:tab w:val="left" w:pos="1615"/>
              </w:tabs>
              <w:jc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sz w:val="20"/>
                <w:szCs w:val="20"/>
                <w:highlight w:val="none"/>
                <w:u w:val="none"/>
                <w:lang w:eastAsia="zh-CN"/>
              </w:rPr>
              <w:t>招标控制价合计=1+2+3+5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1"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工程名称：大坦沙分公司一二三期厂区排泥管道优化项目</w:t>
            </w:r>
          </w:p>
        </w:tc>
        <w:tc>
          <w:tcPr>
            <w:tcW w:w="871"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6"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3"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4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9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267"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424"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298"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3"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67"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3"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3"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67"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3"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040101001001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草地开挖</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1、人工开挖：长6m*宽6m深0.8m</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2、回填26.8m³ ，人工夯实</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3、2m³外运20KM。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28.8</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050102012001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铺种草皮</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1、铺钟台弯草：28.8m2</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2、草皮保养 人工灌溉   6个月</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28.8</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010401003001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阀门井堆砌</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1、尺寸：长1.2m*宽1.2m深0.5m</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2、墙厚度：12cm单砖墙</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3、墙体水泥批荡5cm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座</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040205007001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阀门井边涂黄黑警示标识</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阀门井边涂黄黑警示标识</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010606013001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阀门井盖板及支架制作安装</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1、不锈钢花纹板，盖板尺寸1.3m*1.3m,厚度3mm</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2、不锈钢角钢骨架：40*40*4，7米</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0.05819</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030413003001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管道开孔</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DN300碳钢管开DN200孔</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管道及管材敷设DN200</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1、材料及规格：DN200无缝钢管 厚度8MM ,长度 10m</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2、DN200无缝钢管弯头  4个</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3、敷设方式：暗敷</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030807006001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球阀安装</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1、DN200球阀（阀门铸钢材质）</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2、配套不锈钢螺栓、垫片等附件</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阀门铸钢材质</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030807006002</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伸缩节安装</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1、不锈钢伸缩节DN200mm</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2、配套不锈钢螺栓、垫片等附件</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030810002001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低压碳钢焊接法兰</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1、DN200法兰</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2、焊接在管口，用于安装DN200球阀</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DN300无缝钢管</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副</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031001002002</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管道敷设DN300</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1、材料及规格：DN300无缝钢管 厚度8MM ,长度 10m</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2、敷设方式：暗敷</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030109011001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潜水泵安装</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1、电压220V</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2、流量：≥2m³/h</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3、扬程≥10m</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4、适配DN50接头</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030801016001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潜水泵排水管</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1、材料规格：DN50 pvc管</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2、敷设方式：暗敷</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80</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041001001001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拆除路基层</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1、拆除砖路面基层：长80m宽0.5m，40m2.</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2、拆除废料外运：6.0m3</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40</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041001001002</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拆除路面</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1、机械开挖混凝土路面深度20cm，开挖量8m³</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2、废料外运：8m³</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40</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040202015001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拆除路面 混凝土垫层恢复</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 xml:space="preserve">1、厚度:200mm </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2、碎石粒径综合考虑 C25</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40</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040204002001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路基础铺草坪砖</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1、铺设草坪砖</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40</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030411001001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电缆穿线管</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1、规格材料：DN20 pvc线管</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2、敷设方式：暗敷</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19</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030408001001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潜水泵电缆敷设</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1、电缆：ZR-YJV-3*2MM2</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2、敷设方式：管内穿线</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030404017001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ABS翻盖电箱盒</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1、ABS翻盖电箱盒一套，内含16A漏电保护、空气开关各一个。</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031202002001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管道防腐蚀</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1、DN200无缝钢管10m，内外防腐</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2、DN300无缝钢管10m，内外防腐</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3、阀井1#内DN300钢管7m，除锈防腐</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4、手工除锈 轻锈</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5、红丹防锈底漆一遍</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6、弹性聚氨酯面漆两遍</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44.6</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031302007001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高层施工增加</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23</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031301017001</w:t>
            </w:r>
          </w:p>
        </w:tc>
        <w:tc>
          <w:tcPr>
            <w:tcW w:w="69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脚手架搭拆费</w:t>
            </w:r>
          </w:p>
        </w:tc>
        <w:tc>
          <w:tcPr>
            <w:tcW w:w="126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1"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bl>
    <w:p>
      <w:pPr>
        <w:pStyle w:val="3"/>
        <w:rPr>
          <w:rFonts w:hint="eastAsia" w:ascii="仿宋" w:hAnsi="仿宋" w:eastAsia="仿宋" w:cs="仿宋"/>
          <w:b/>
          <w:bCs/>
          <w:color w:val="auto"/>
          <w:sz w:val="28"/>
          <w:szCs w:val="28"/>
          <w:highlight w:val="none"/>
          <w:u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0"/>
        <w:gridCol w:w="1230"/>
        <w:gridCol w:w="1578"/>
        <w:gridCol w:w="1271"/>
        <w:gridCol w:w="493"/>
        <w:gridCol w:w="181"/>
        <w:gridCol w:w="848"/>
        <w:gridCol w:w="496"/>
        <w:gridCol w:w="333"/>
        <w:gridCol w:w="825"/>
        <w:gridCol w:w="10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trPr>
        <w:tc>
          <w:tcPr>
            <w:tcW w:w="2881"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工程名称：大坦沙分公司一二三期厂区排泥管道优化项目</w:t>
            </w:r>
          </w:p>
        </w:tc>
        <w:tc>
          <w:tcPr>
            <w:tcW w:w="87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331"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5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9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72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8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费率</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48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金额</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(元)</w:t>
            </w:r>
          </w:p>
        </w:tc>
        <w:tc>
          <w:tcPr>
            <w:tcW w:w="47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调整费率</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46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调整后金额</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(元)</w:t>
            </w:r>
          </w:p>
        </w:tc>
        <w:tc>
          <w:tcPr>
            <w:tcW w:w="585"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LSSGCSF00001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35.77</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4145.5</w:t>
            </w: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031301010001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安装与生产同时进行增加费用</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031301011001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在有害身体健康环境中施工增加费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TSSGBWZJF001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在地下（暗）室、设备及大口径管道内等特殊施工部位进行施工增加费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粤031302008001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031302002001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JTGRSGZJF001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交通干扰工程施工增加费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粤031302009001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31"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655"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DXGXJCJXF001</w:t>
            </w:r>
          </w:p>
        </w:tc>
        <w:tc>
          <w:tcPr>
            <w:tcW w:w="893"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720"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8"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8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QTFY00000001</w:t>
            </w:r>
          </w:p>
        </w:tc>
        <w:tc>
          <w:tcPr>
            <w:tcW w:w="8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bl>
    <w:p>
      <w:pPr>
        <w:pStyle w:val="3"/>
        <w:rPr>
          <w:rFonts w:hint="eastAsia" w:ascii="仿宋" w:hAnsi="仿宋" w:eastAsia="仿宋" w:cs="仿宋"/>
          <w:b/>
          <w:bCs/>
          <w:color w:val="auto"/>
          <w:sz w:val="28"/>
          <w:szCs w:val="28"/>
          <w:highlight w:val="none"/>
          <w:u w:val="none"/>
          <w:lang w:val="en-US" w:eastAsia="zh-CN"/>
        </w:rPr>
      </w:pPr>
    </w:p>
    <w:p>
      <w:pPr>
        <w:keepNext w:val="0"/>
        <w:keepLines w:val="0"/>
        <w:widowControl/>
        <w:suppressLineNumbers w:val="0"/>
        <w:wordWrap/>
        <w:spacing w:line="240" w:lineRule="auto"/>
        <w:jc w:val="center"/>
        <w:textAlignment w:val="center"/>
        <w:rPr>
          <w:rFonts w:hint="default"/>
          <w:b/>
          <w:bCs/>
          <w:color w:val="auto"/>
          <w:sz w:val="28"/>
          <w:szCs w:val="36"/>
          <w:highlight w:val="none"/>
          <w:lang w:val="en-US" w:eastAsia="zh-CN"/>
        </w:rPr>
      </w:pPr>
      <w:r>
        <w:rPr>
          <w:rFonts w:hint="eastAsia" w:ascii="仿宋" w:hAnsi="仿宋" w:eastAsia="仿宋" w:cs="仿宋"/>
          <w:b/>
          <w:bCs/>
          <w:color w:val="auto"/>
          <w:sz w:val="28"/>
          <w:szCs w:val="28"/>
          <w:highlight w:val="none"/>
          <w:u w:val="none"/>
          <w:lang w:val="en-US" w:eastAsia="zh-CN"/>
        </w:rPr>
        <w:t>项目三</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u w:val="none"/>
          <w:lang w:val="en-US" w:eastAsia="zh-CN"/>
        </w:rPr>
        <w:t>广州市净水有限公司大坦沙分公司大坦沙分公司一期平流式沉砂池盖板维修项目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24"/>
        <w:gridCol w:w="359"/>
        <w:gridCol w:w="969"/>
        <w:gridCol w:w="1084"/>
        <w:gridCol w:w="2013"/>
        <w:gridCol w:w="64"/>
        <w:gridCol w:w="211"/>
        <w:gridCol w:w="433"/>
        <w:gridCol w:w="767"/>
        <w:gridCol w:w="135"/>
        <w:gridCol w:w="538"/>
        <w:gridCol w:w="144"/>
        <w:gridCol w:w="816"/>
        <w:gridCol w:w="7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1"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工程名称：大坦沙分公司一期平流式沉砂池盖板维修</w:t>
            </w:r>
          </w:p>
        </w:tc>
        <w:tc>
          <w:tcPr>
            <w:tcW w:w="87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6"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54"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290"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210"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944"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（一）平流式沉砂池</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（二）二期反应池盖板更换</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29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210"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45" w:type="pct"/>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招标控制价合计=1+2+3+5</w:t>
            </w:r>
          </w:p>
        </w:tc>
        <w:tc>
          <w:tcPr>
            <w:tcW w:w="1210" w:type="pct"/>
            <w:gridSpan w:val="6"/>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1"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工程名称：大坦沙分公司一期平流式沉砂池盖板维修</w:t>
            </w:r>
          </w:p>
        </w:tc>
        <w:tc>
          <w:tcPr>
            <w:tcW w:w="87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6"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52"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4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1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289"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43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320"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8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60"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60"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8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60"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（一）平流式沉砂池</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040402016001</w:t>
            </w: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盖板及密封条拆除</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1.玻璃纤维盖板拆除</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2.橡胶垫片密封条拆除</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221.52</w:t>
            </w: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040402016002</w:t>
            </w: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原有反应池盖板支架拆除</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1.原有反应池盖板支架拆除</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5.123</w:t>
            </w: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011506001001</w:t>
            </w: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吊挂饰面</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1.浅灰色树脂瓦盖板（异形）</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2.厚度：国标3mm厚</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3.聚酯密封压条（橡胶垫，带式压滤机滤布材质）：400mm宽，厚度不少于3mm，172m</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4.密封条压条304不锈钢（宽450mm、厚2.5mm）：172m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200</w:t>
            </w: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010606012001</w:t>
            </w: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不锈钢支架</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1.骨架安装及焊制</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2.盖板骨架（304不锈钢方钢管60*40*3mm等）</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3.包含不锈钢螺丝自攻螺丝，膨胀螺丝。檀条间距不大于600mm</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4.达到具体实施方案和图纸要求</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0.762</w:t>
            </w: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010810005001</w:t>
            </w: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平推式窗口骨架制作</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1.平推式窗口不锈钢骨架制作</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2.规格：2900*2000mm</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3.包含窗导轨</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010807001001</w:t>
            </w: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平推窗框材质304不锈钢，窗PE材质</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1.平推窗框材质304不锈钢，窗PE材质</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2.窗规格：1450*1000mm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扇</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粤R2-5-2</w:t>
            </w: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花纹钢板（304不锈钢）</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1.花纹钢板（304不锈钢）</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2.不锈钢骨架方形钢管40*30</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3.花纹钢板厚度：3mm</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w:t>
            </w: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（二）二期反应池盖板更换</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粤R1-9-15</w:t>
            </w: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石板搬运</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1.石板搬运</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2.运距：综合考虑</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块</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w:t>
            </w: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粤R2-5-1</w:t>
            </w: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304不锈钢盖板制作</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1.304不锈钢盖板制作</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2.规格：700*1650mm</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3.带不锈钢格栅板骨架50*40*3</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4.数量：12块</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0.4278</w:t>
            </w: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4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粤R2-5-1</w:t>
            </w:r>
          </w:p>
        </w:tc>
        <w:tc>
          <w:tcPr>
            <w:tcW w:w="6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304不锈钢封堵盖板</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1.304不锈钢封堵盖板</w:t>
            </w:r>
          </w:p>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2.厚度：2mm</w:t>
            </w:r>
          </w:p>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3.不锈钢角铁50*40*2</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4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p>
      <w:pPr>
        <w:pStyle w:val="12"/>
        <w:widowControl w:val="0"/>
        <w:numPr>
          <w:ilvl w:val="0"/>
          <w:numId w:val="0"/>
        </w:numPr>
        <w:tabs>
          <w:tab w:val="left" w:pos="312"/>
        </w:tabs>
        <w:adjustRightInd w:val="0"/>
        <w:snapToGrid w:val="0"/>
        <w:spacing w:line="300" w:lineRule="auto"/>
        <w:jc w:val="both"/>
        <w:rPr>
          <w:rFonts w:hint="eastAsia"/>
          <w:color w:val="auto"/>
          <w:sz w:val="28"/>
          <w:szCs w:val="36"/>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8"/>
        <w:gridCol w:w="1230"/>
        <w:gridCol w:w="1461"/>
        <w:gridCol w:w="1167"/>
        <w:gridCol w:w="656"/>
        <w:gridCol w:w="61"/>
        <w:gridCol w:w="933"/>
        <w:gridCol w:w="578"/>
        <w:gridCol w:w="203"/>
        <w:gridCol w:w="267"/>
        <w:gridCol w:w="17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881"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工程名称：大坦沙分公司一期平流式沉砂池盖板维修</w:t>
            </w:r>
          </w:p>
        </w:tc>
        <w:tc>
          <w:tcPr>
            <w:tcW w:w="979"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139"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31"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4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2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66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7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费率</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56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金额</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(元)</w:t>
            </w:r>
          </w:p>
        </w:tc>
        <w:tc>
          <w:tcPr>
            <w:tcW w:w="33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调整</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p>
        </w:tc>
        <w:tc>
          <w:tcPr>
            <w:tcW w:w="27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调整后</w:t>
            </w: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980"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83"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LSSGCSF00001</w:t>
            </w:r>
          </w:p>
        </w:tc>
        <w:tc>
          <w:tcPr>
            <w:tcW w:w="8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19</w:t>
            </w:r>
          </w:p>
        </w:tc>
        <w:tc>
          <w:tcPr>
            <w:tcW w:w="5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3678.44</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8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以分部分项的人工费与施工机具费之和为计算基础；以专业工程类型</w:t>
            </w:r>
          </w:p>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区分不同费率计算；</w:t>
            </w:r>
          </w:p>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单独场地平整工程费率为4.35%；</w:t>
            </w:r>
          </w:p>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道路、管网工程费率为16.50%；</w:t>
            </w:r>
          </w:p>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桥涵、隧道、水处理构筑物工程费率为14.50%；</w:t>
            </w:r>
          </w:p>
          <w:p>
            <w:pPr>
              <w:pStyle w:val="2"/>
              <w:rPr>
                <w:rFonts w:hint="eastAsia"/>
                <w:color w:val="auto"/>
                <w:highlight w:val="none"/>
                <w:lang w:val="en-US" w:eastAsia="zh-CN"/>
              </w:rPr>
            </w:pPr>
          </w:p>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分部分项工程总费用在300 万元以内（含300 万元）的项目按基本费率乘以1.20；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粤041109009001</w:t>
            </w:r>
          </w:p>
        </w:tc>
        <w:tc>
          <w:tcPr>
            <w:tcW w:w="8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5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8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以分部分项的人工费与施工机具费之和为计算基础；市级文明工地0.60%；省级文明工地1.20%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041109002001</w:t>
            </w:r>
          </w:p>
        </w:tc>
        <w:tc>
          <w:tcPr>
            <w:tcW w:w="8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5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8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80" w:hRule="atLeast"/>
        </w:trPr>
        <w:tc>
          <w:tcPr>
            <w:tcW w:w="331"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47"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041109005001</w:t>
            </w:r>
          </w:p>
        </w:tc>
        <w:tc>
          <w:tcPr>
            <w:tcW w:w="82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交通疏解员增加费</w:t>
            </w:r>
          </w:p>
        </w:tc>
        <w:tc>
          <w:tcPr>
            <w:tcW w:w="66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7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56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30"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80"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按照项目分部分项人工费的15%计算（有方案的按照方案计算），结算时据实结算。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041108001001</w:t>
            </w:r>
          </w:p>
        </w:tc>
        <w:tc>
          <w:tcPr>
            <w:tcW w:w="8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5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8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6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粤041109008001</w:t>
            </w:r>
          </w:p>
        </w:tc>
        <w:tc>
          <w:tcPr>
            <w:tcW w:w="8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5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8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赶工措施费=（1-δ）*分部分项的（人工费+施工机具费）*0.30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3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6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QTFY00000001</w:t>
            </w:r>
          </w:p>
        </w:tc>
        <w:tc>
          <w:tcPr>
            <w:tcW w:w="8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8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bl>
    <w:p>
      <w:pPr>
        <w:rPr>
          <w:rFonts w:hint="eastAsia"/>
          <w:color w:val="auto"/>
          <w:highlight w:val="none"/>
        </w:rPr>
      </w:pPr>
    </w:p>
    <w:p>
      <w:pPr>
        <w:pStyle w:val="6"/>
        <w:rPr>
          <w:rFonts w:asciiTheme="majorEastAsia" w:hAnsiTheme="majorEastAsia" w:eastAsiaTheme="majorEastAsia"/>
          <w:color w:val="auto"/>
          <w:sz w:val="28"/>
          <w:szCs w:val="28"/>
          <w:highlight w:val="none"/>
        </w:rPr>
      </w:pPr>
      <w:bookmarkStart w:id="133" w:name="_Toc16386"/>
      <w:bookmarkStart w:id="134" w:name="_Toc87616402"/>
      <w:bookmarkStart w:id="135" w:name="_Toc6058"/>
      <w:bookmarkStart w:id="136" w:name="_Toc88209965"/>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3"/>
      <w:bookmarkEnd w:id="134"/>
      <w:bookmarkEnd w:id="135"/>
      <w:bookmarkEnd w:id="136"/>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footerReference r:id="rId7" w:type="first"/>
      <w:footerReference r:id="rId6"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方正仿宋_GB2312">
    <w:altName w:val="仿宋"/>
    <w:panose1 w:val="02000000000000000000"/>
    <w:charset w:val="86"/>
    <w:family w:val="auto"/>
    <w:pitch w:val="default"/>
    <w:sig w:usb0="00000000" w:usb1="00000000" w:usb2="00000012"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ZJks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iJI5bnPj554/zr8fzw3fy&#10;JuvTB6gx7S5gYhre+wG3ZvYDOjPtQUWbv0iIYByhThd15ZCIyI9Wy9WqwpDA2HxBfPb0PERIH6S3&#10;JBsNjTi+oio/foI0ps4puZrzt9qYMkLj/nIgZvaw3PvYY7bSsBsmQjvfnpBPj5NvqMNFp8R8dCgs&#10;9pdmI87GbjYOIep9V7Yo14Pw7pCwidJbrjDCToVxZIXdtF55J/68l6ynX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dpkmS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14V/skBAACa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pJieMWJ375/u3y49fl51fy&#10;O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rXhX+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xZbNMkBAACa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unpDieMWJ375/u3y49fl51ey&#10;zP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nFls0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02B05F"/>
    <w:multiLevelType w:val="singleLevel"/>
    <w:tmpl w:val="B302B05F"/>
    <w:lvl w:ilvl="0" w:tentative="0">
      <w:start w:val="1"/>
      <w:numFmt w:val="decimal"/>
      <w:suff w:val="nothing"/>
      <w:lvlText w:val="（%1）"/>
      <w:lvlJc w:val="left"/>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F474C9A6"/>
    <w:multiLevelType w:val="singleLevel"/>
    <w:tmpl w:val="F474C9A6"/>
    <w:lvl w:ilvl="0" w:tentative="0">
      <w:start w:val="10"/>
      <w:numFmt w:val="chineseCounting"/>
      <w:suff w:val="space"/>
      <w:lvlText w:val="第%1条"/>
      <w:lvlJc w:val="left"/>
      <w:rPr>
        <w:rFonts w:hint="eastAsia"/>
      </w:rPr>
    </w:lvl>
  </w:abstractNum>
  <w:abstractNum w:abstractNumId="3">
    <w:nsid w:val="00D16D9F"/>
    <w:multiLevelType w:val="multilevel"/>
    <w:tmpl w:val="00D16D9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34DCE6"/>
    <w:multiLevelType w:val="singleLevel"/>
    <w:tmpl w:val="4734DCE6"/>
    <w:lvl w:ilvl="0" w:tentative="0">
      <w:start w:val="1"/>
      <w:numFmt w:val="decimal"/>
      <w:lvlText w:val="%1."/>
      <w:lvlJc w:val="left"/>
      <w:pPr>
        <w:tabs>
          <w:tab w:val="left" w:pos="312"/>
        </w:tabs>
      </w:pPr>
    </w:lvl>
  </w:abstractNum>
  <w:abstractNum w:abstractNumId="5">
    <w:nsid w:val="5EF2DBFF"/>
    <w:multiLevelType w:val="singleLevel"/>
    <w:tmpl w:val="5EF2DBFF"/>
    <w:lvl w:ilvl="0" w:tentative="0">
      <w:start w:val="5"/>
      <w:numFmt w:val="decimal"/>
      <w:lvlText w:val="%1."/>
      <w:lvlJc w:val="left"/>
      <w:pPr>
        <w:tabs>
          <w:tab w:val="left" w:pos="312"/>
        </w:tabs>
      </w:pPr>
    </w:lvl>
  </w:abstractNum>
  <w:abstractNum w:abstractNumId="6">
    <w:nsid w:val="705D32C3"/>
    <w:multiLevelType w:val="singleLevel"/>
    <w:tmpl w:val="705D32C3"/>
    <w:lvl w:ilvl="0" w:tentative="0">
      <w:start w:val="5"/>
      <w:numFmt w:val="decimal"/>
      <w:lvlText w:val="%1."/>
      <w:lvlJc w:val="left"/>
      <w:pPr>
        <w:tabs>
          <w:tab w:val="left" w:pos="312"/>
        </w:tabs>
      </w:pPr>
    </w:lvl>
  </w:abstractNum>
  <w:num w:numId="1">
    <w:abstractNumId w:val="1"/>
  </w:num>
  <w:num w:numId="2">
    <w:abstractNumId w:val="6"/>
  </w:num>
  <w:num w:numId="3">
    <w:abstractNumId w:val="4"/>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3D60BA"/>
    <w:rsid w:val="00411689"/>
    <w:rsid w:val="005D618A"/>
    <w:rsid w:val="00855987"/>
    <w:rsid w:val="00911ECD"/>
    <w:rsid w:val="00A042E0"/>
    <w:rsid w:val="00B26BB1"/>
    <w:rsid w:val="00B26E21"/>
    <w:rsid w:val="00D022FB"/>
    <w:rsid w:val="00F83B64"/>
    <w:rsid w:val="013E3461"/>
    <w:rsid w:val="02090C75"/>
    <w:rsid w:val="0253516A"/>
    <w:rsid w:val="02A23A3C"/>
    <w:rsid w:val="02DE68D7"/>
    <w:rsid w:val="035D130A"/>
    <w:rsid w:val="039110A9"/>
    <w:rsid w:val="03AC246A"/>
    <w:rsid w:val="03B23056"/>
    <w:rsid w:val="03DC3EBA"/>
    <w:rsid w:val="03F9794D"/>
    <w:rsid w:val="045F4E71"/>
    <w:rsid w:val="046A2461"/>
    <w:rsid w:val="051C2970"/>
    <w:rsid w:val="05446A22"/>
    <w:rsid w:val="060C3611"/>
    <w:rsid w:val="06427EF5"/>
    <w:rsid w:val="06C64829"/>
    <w:rsid w:val="077D16D2"/>
    <w:rsid w:val="082A69F3"/>
    <w:rsid w:val="08675FC8"/>
    <w:rsid w:val="09B713FD"/>
    <w:rsid w:val="09EF6ACC"/>
    <w:rsid w:val="0A315056"/>
    <w:rsid w:val="0AA213B4"/>
    <w:rsid w:val="0AF61C7E"/>
    <w:rsid w:val="0AFB45AD"/>
    <w:rsid w:val="0B351E9B"/>
    <w:rsid w:val="0B4C50D3"/>
    <w:rsid w:val="0B625880"/>
    <w:rsid w:val="0B806B92"/>
    <w:rsid w:val="0B827E94"/>
    <w:rsid w:val="0B842F76"/>
    <w:rsid w:val="0BD070E1"/>
    <w:rsid w:val="0C247926"/>
    <w:rsid w:val="0D232081"/>
    <w:rsid w:val="0D794204"/>
    <w:rsid w:val="0E2125D1"/>
    <w:rsid w:val="0E214211"/>
    <w:rsid w:val="0E5F2769"/>
    <w:rsid w:val="0F4D75A3"/>
    <w:rsid w:val="0F5B2DCA"/>
    <w:rsid w:val="0FED051E"/>
    <w:rsid w:val="0FEE4C29"/>
    <w:rsid w:val="10031608"/>
    <w:rsid w:val="10046082"/>
    <w:rsid w:val="106B4A4D"/>
    <w:rsid w:val="111703D2"/>
    <w:rsid w:val="112B101A"/>
    <w:rsid w:val="119B53FC"/>
    <w:rsid w:val="12424CDC"/>
    <w:rsid w:val="129A2738"/>
    <w:rsid w:val="12B56BF1"/>
    <w:rsid w:val="12CB1A89"/>
    <w:rsid w:val="13123A69"/>
    <w:rsid w:val="131840FB"/>
    <w:rsid w:val="13467417"/>
    <w:rsid w:val="136E76CF"/>
    <w:rsid w:val="145F08C6"/>
    <w:rsid w:val="15776308"/>
    <w:rsid w:val="15BC6B3C"/>
    <w:rsid w:val="16430E42"/>
    <w:rsid w:val="164D40B0"/>
    <w:rsid w:val="1694429A"/>
    <w:rsid w:val="17635326"/>
    <w:rsid w:val="18236EFD"/>
    <w:rsid w:val="18430166"/>
    <w:rsid w:val="189D5B1F"/>
    <w:rsid w:val="18A34CD0"/>
    <w:rsid w:val="198F5CEF"/>
    <w:rsid w:val="19A53EA8"/>
    <w:rsid w:val="19B64DBC"/>
    <w:rsid w:val="19C26256"/>
    <w:rsid w:val="1A373ACF"/>
    <w:rsid w:val="1A895341"/>
    <w:rsid w:val="1B0D071F"/>
    <w:rsid w:val="1B4568CE"/>
    <w:rsid w:val="1B9015B7"/>
    <w:rsid w:val="1BF54245"/>
    <w:rsid w:val="1C673A86"/>
    <w:rsid w:val="1C71652B"/>
    <w:rsid w:val="1D0E6976"/>
    <w:rsid w:val="1D5A79EE"/>
    <w:rsid w:val="1E0E2CD0"/>
    <w:rsid w:val="1E831280"/>
    <w:rsid w:val="1EA1542F"/>
    <w:rsid w:val="1EBC4704"/>
    <w:rsid w:val="1F172EB5"/>
    <w:rsid w:val="1F6856FC"/>
    <w:rsid w:val="1F770FC5"/>
    <w:rsid w:val="1F94592D"/>
    <w:rsid w:val="1FB860DE"/>
    <w:rsid w:val="203C5A02"/>
    <w:rsid w:val="209D4C94"/>
    <w:rsid w:val="20E84705"/>
    <w:rsid w:val="218400BA"/>
    <w:rsid w:val="21AB1E2F"/>
    <w:rsid w:val="21D40498"/>
    <w:rsid w:val="22767047"/>
    <w:rsid w:val="23A05588"/>
    <w:rsid w:val="23DE3F1D"/>
    <w:rsid w:val="240476A1"/>
    <w:rsid w:val="24807ED0"/>
    <w:rsid w:val="25431AEB"/>
    <w:rsid w:val="25BF43FD"/>
    <w:rsid w:val="25F86BCD"/>
    <w:rsid w:val="2605748B"/>
    <w:rsid w:val="269E416A"/>
    <w:rsid w:val="272100D3"/>
    <w:rsid w:val="272C72FC"/>
    <w:rsid w:val="275131CB"/>
    <w:rsid w:val="27CB6DD4"/>
    <w:rsid w:val="27EB149D"/>
    <w:rsid w:val="27FD3E52"/>
    <w:rsid w:val="28BE6AB5"/>
    <w:rsid w:val="28E11370"/>
    <w:rsid w:val="294A756A"/>
    <w:rsid w:val="29781BF8"/>
    <w:rsid w:val="29C33ED0"/>
    <w:rsid w:val="29D5322D"/>
    <w:rsid w:val="2A025DD9"/>
    <w:rsid w:val="2A2619CB"/>
    <w:rsid w:val="2A7C2231"/>
    <w:rsid w:val="2ABB753D"/>
    <w:rsid w:val="2B3B10DE"/>
    <w:rsid w:val="2B7A49FA"/>
    <w:rsid w:val="2C615D26"/>
    <w:rsid w:val="2CB679ED"/>
    <w:rsid w:val="2D173C07"/>
    <w:rsid w:val="2D424A86"/>
    <w:rsid w:val="2DA845B3"/>
    <w:rsid w:val="2E7B52DB"/>
    <w:rsid w:val="2F324CFE"/>
    <w:rsid w:val="2FBA09F1"/>
    <w:rsid w:val="2FC970C5"/>
    <w:rsid w:val="2FEF2ACF"/>
    <w:rsid w:val="30540211"/>
    <w:rsid w:val="31112A0D"/>
    <w:rsid w:val="311F4B20"/>
    <w:rsid w:val="312D7741"/>
    <w:rsid w:val="31564E78"/>
    <w:rsid w:val="316F137F"/>
    <w:rsid w:val="31DF525F"/>
    <w:rsid w:val="31EC162B"/>
    <w:rsid w:val="32324C2E"/>
    <w:rsid w:val="327171DF"/>
    <w:rsid w:val="341E3434"/>
    <w:rsid w:val="34BB4442"/>
    <w:rsid w:val="360B7EBA"/>
    <w:rsid w:val="36116865"/>
    <w:rsid w:val="369C32FD"/>
    <w:rsid w:val="37666E72"/>
    <w:rsid w:val="38081EA3"/>
    <w:rsid w:val="38167A04"/>
    <w:rsid w:val="394B167A"/>
    <w:rsid w:val="39DA2868"/>
    <w:rsid w:val="3A4E4336"/>
    <w:rsid w:val="3A6007FE"/>
    <w:rsid w:val="3AF93D6C"/>
    <w:rsid w:val="3B7C2CE4"/>
    <w:rsid w:val="3BAF716B"/>
    <w:rsid w:val="3C0B5355"/>
    <w:rsid w:val="3CD4176B"/>
    <w:rsid w:val="3D1F44D9"/>
    <w:rsid w:val="3D5C38CD"/>
    <w:rsid w:val="3E5070F1"/>
    <w:rsid w:val="3F6C3589"/>
    <w:rsid w:val="3F850180"/>
    <w:rsid w:val="3F9004D6"/>
    <w:rsid w:val="3FD371E4"/>
    <w:rsid w:val="400E4D5E"/>
    <w:rsid w:val="40E1138C"/>
    <w:rsid w:val="413814BA"/>
    <w:rsid w:val="41872511"/>
    <w:rsid w:val="424236D9"/>
    <w:rsid w:val="42466655"/>
    <w:rsid w:val="42C82F57"/>
    <w:rsid w:val="435707E5"/>
    <w:rsid w:val="43C76AF7"/>
    <w:rsid w:val="443661F9"/>
    <w:rsid w:val="446828F0"/>
    <w:rsid w:val="45093E85"/>
    <w:rsid w:val="45C13B4D"/>
    <w:rsid w:val="46054BCA"/>
    <w:rsid w:val="464C6AFC"/>
    <w:rsid w:val="468B0091"/>
    <w:rsid w:val="46A107C3"/>
    <w:rsid w:val="46B15CE2"/>
    <w:rsid w:val="46BE113D"/>
    <w:rsid w:val="46E44B13"/>
    <w:rsid w:val="4703508A"/>
    <w:rsid w:val="475023F8"/>
    <w:rsid w:val="479D361E"/>
    <w:rsid w:val="47B74789"/>
    <w:rsid w:val="480F2B9D"/>
    <w:rsid w:val="48282920"/>
    <w:rsid w:val="485321E0"/>
    <w:rsid w:val="48546AD3"/>
    <w:rsid w:val="48CA4868"/>
    <w:rsid w:val="48F005D3"/>
    <w:rsid w:val="49547ADD"/>
    <w:rsid w:val="49732351"/>
    <w:rsid w:val="498F4AF1"/>
    <w:rsid w:val="49C05787"/>
    <w:rsid w:val="49CF518D"/>
    <w:rsid w:val="4ADA1F63"/>
    <w:rsid w:val="4AE23D89"/>
    <w:rsid w:val="4B2038D0"/>
    <w:rsid w:val="4B296E7D"/>
    <w:rsid w:val="4B79394E"/>
    <w:rsid w:val="4B877F28"/>
    <w:rsid w:val="4C811F49"/>
    <w:rsid w:val="4C9C17E3"/>
    <w:rsid w:val="4D916BA6"/>
    <w:rsid w:val="4DC44169"/>
    <w:rsid w:val="4DE24E21"/>
    <w:rsid w:val="4E1B19A3"/>
    <w:rsid w:val="4EF0709E"/>
    <w:rsid w:val="4F0469A4"/>
    <w:rsid w:val="513C6A7B"/>
    <w:rsid w:val="529B324A"/>
    <w:rsid w:val="532D486F"/>
    <w:rsid w:val="5333545B"/>
    <w:rsid w:val="538D0E89"/>
    <w:rsid w:val="5450213C"/>
    <w:rsid w:val="54D24048"/>
    <w:rsid w:val="54D64CD5"/>
    <w:rsid w:val="55887D69"/>
    <w:rsid w:val="561A0928"/>
    <w:rsid w:val="56423872"/>
    <w:rsid w:val="56B279F0"/>
    <w:rsid w:val="579D710E"/>
    <w:rsid w:val="581F22F6"/>
    <w:rsid w:val="586E1E17"/>
    <w:rsid w:val="58862C35"/>
    <w:rsid w:val="58C14957"/>
    <w:rsid w:val="58CC23D2"/>
    <w:rsid w:val="5A49692D"/>
    <w:rsid w:val="5AE83A50"/>
    <w:rsid w:val="5B353193"/>
    <w:rsid w:val="5BAB2917"/>
    <w:rsid w:val="5BFC33FA"/>
    <w:rsid w:val="5C3107A4"/>
    <w:rsid w:val="5C3B1B93"/>
    <w:rsid w:val="5C9220DF"/>
    <w:rsid w:val="5D4A15F3"/>
    <w:rsid w:val="5D69542A"/>
    <w:rsid w:val="5D783B72"/>
    <w:rsid w:val="5E0930EF"/>
    <w:rsid w:val="5E3D4D53"/>
    <w:rsid w:val="5E4717E6"/>
    <w:rsid w:val="5E55774C"/>
    <w:rsid w:val="60045F96"/>
    <w:rsid w:val="60104DDC"/>
    <w:rsid w:val="605C0804"/>
    <w:rsid w:val="61880C00"/>
    <w:rsid w:val="6189617B"/>
    <w:rsid w:val="61B52BB6"/>
    <w:rsid w:val="61B749C2"/>
    <w:rsid w:val="61FA4799"/>
    <w:rsid w:val="62101F83"/>
    <w:rsid w:val="62280D20"/>
    <w:rsid w:val="62A065CE"/>
    <w:rsid w:val="62CA2457"/>
    <w:rsid w:val="638240A1"/>
    <w:rsid w:val="63833423"/>
    <w:rsid w:val="63A5257B"/>
    <w:rsid w:val="63BD3DCC"/>
    <w:rsid w:val="63C61741"/>
    <w:rsid w:val="64560967"/>
    <w:rsid w:val="64E15548"/>
    <w:rsid w:val="656B1D10"/>
    <w:rsid w:val="65B841F9"/>
    <w:rsid w:val="66022B28"/>
    <w:rsid w:val="66120F31"/>
    <w:rsid w:val="664A38E2"/>
    <w:rsid w:val="66581E87"/>
    <w:rsid w:val="66FA11D5"/>
    <w:rsid w:val="674302C7"/>
    <w:rsid w:val="680A5986"/>
    <w:rsid w:val="680D5F4B"/>
    <w:rsid w:val="68113F51"/>
    <w:rsid w:val="68E94770"/>
    <w:rsid w:val="68F949C9"/>
    <w:rsid w:val="695A4290"/>
    <w:rsid w:val="6A334932"/>
    <w:rsid w:val="6A3353FF"/>
    <w:rsid w:val="6A5D63E6"/>
    <w:rsid w:val="6A5F24D1"/>
    <w:rsid w:val="6AC04324"/>
    <w:rsid w:val="6AE347EB"/>
    <w:rsid w:val="6B434AF0"/>
    <w:rsid w:val="6B57675A"/>
    <w:rsid w:val="6BDD7B4D"/>
    <w:rsid w:val="6C116EE0"/>
    <w:rsid w:val="6EBC0B3A"/>
    <w:rsid w:val="6EF51C7D"/>
    <w:rsid w:val="6F8363E5"/>
    <w:rsid w:val="6FAC3CC5"/>
    <w:rsid w:val="6FC746F5"/>
    <w:rsid w:val="70317AC6"/>
    <w:rsid w:val="704B26F7"/>
    <w:rsid w:val="70863262"/>
    <w:rsid w:val="70A76ED3"/>
    <w:rsid w:val="70E77EB4"/>
    <w:rsid w:val="71860B17"/>
    <w:rsid w:val="71E16024"/>
    <w:rsid w:val="723B27CC"/>
    <w:rsid w:val="72687227"/>
    <w:rsid w:val="72A03FD9"/>
    <w:rsid w:val="73406CFF"/>
    <w:rsid w:val="7383028C"/>
    <w:rsid w:val="73A25E44"/>
    <w:rsid w:val="741F68CF"/>
    <w:rsid w:val="75252DF3"/>
    <w:rsid w:val="75621536"/>
    <w:rsid w:val="75BF3154"/>
    <w:rsid w:val="75D70EE2"/>
    <w:rsid w:val="764A07CF"/>
    <w:rsid w:val="764F6B3D"/>
    <w:rsid w:val="76CD2B7B"/>
    <w:rsid w:val="76D80645"/>
    <w:rsid w:val="76E03371"/>
    <w:rsid w:val="77D647BD"/>
    <w:rsid w:val="77FC3C10"/>
    <w:rsid w:val="780E5898"/>
    <w:rsid w:val="782642CC"/>
    <w:rsid w:val="7894095E"/>
    <w:rsid w:val="78964555"/>
    <w:rsid w:val="78CF4963"/>
    <w:rsid w:val="79000679"/>
    <w:rsid w:val="79A416F0"/>
    <w:rsid w:val="79B03EB6"/>
    <w:rsid w:val="7AE15A5C"/>
    <w:rsid w:val="7AF37579"/>
    <w:rsid w:val="7AF87F64"/>
    <w:rsid w:val="7B1C0C84"/>
    <w:rsid w:val="7B5A62DF"/>
    <w:rsid w:val="7B7A04A8"/>
    <w:rsid w:val="7B943F2E"/>
    <w:rsid w:val="7C0C3F6D"/>
    <w:rsid w:val="7C22163C"/>
    <w:rsid w:val="7C457B4B"/>
    <w:rsid w:val="7C595075"/>
    <w:rsid w:val="7C6B07B2"/>
    <w:rsid w:val="7D133243"/>
    <w:rsid w:val="7D4177DE"/>
    <w:rsid w:val="7D945420"/>
    <w:rsid w:val="7DE7560A"/>
    <w:rsid w:val="7E394207"/>
    <w:rsid w:val="7E4007A2"/>
    <w:rsid w:val="7E791CAD"/>
    <w:rsid w:val="7EA50DFB"/>
    <w:rsid w:val="7EC86878"/>
    <w:rsid w:val="7ECE30F0"/>
    <w:rsid w:val="7F16390D"/>
    <w:rsid w:val="7F312AA7"/>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2"/>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3"/>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4"/>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Body Text 2"/>
    <w:basedOn w:val="1"/>
    <w:qFormat/>
    <w:uiPriority w:val="0"/>
    <w:pPr>
      <w:spacing w:after="120" w:line="480" w:lineRule="auto"/>
    </w:p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2"/>
    <w:unhideWhenUsed/>
    <w:qFormat/>
    <w:uiPriority w:val="99"/>
    <w:pPr>
      <w:spacing w:after="120"/>
    </w:pPr>
    <w:rPr>
      <w:sz w:val="16"/>
      <w:szCs w:val="16"/>
    </w:r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6">
    <w:name w:val="Balloon Text"/>
    <w:basedOn w:val="1"/>
    <w:link w:val="37"/>
    <w:semiHidden/>
    <w:unhideWhenUsed/>
    <w:qFormat/>
    <w:uiPriority w:val="99"/>
    <w:rPr>
      <w:sz w:val="18"/>
      <w:szCs w:val="18"/>
    </w:rPr>
  </w:style>
  <w:style w:type="paragraph" w:styleId="17">
    <w:name w:val="footer"/>
    <w:basedOn w:val="1"/>
    <w:link w:val="31"/>
    <w:unhideWhenUsed/>
    <w:qFormat/>
    <w:uiPriority w:val="99"/>
    <w:pPr>
      <w:tabs>
        <w:tab w:val="center" w:pos="4153"/>
        <w:tab w:val="right" w:pos="8306"/>
      </w:tabs>
      <w:snapToGrid w:val="0"/>
      <w:jc w:val="left"/>
    </w:pPr>
    <w:rPr>
      <w:sz w:val="18"/>
      <w:szCs w:val="18"/>
    </w:rPr>
  </w:style>
  <w:style w:type="paragraph" w:styleId="18">
    <w:name w:val="header"/>
    <w:basedOn w:val="1"/>
    <w:link w:val="3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1">
    <w:name w:val="Normal (Web)"/>
    <w:basedOn w:val="1"/>
    <w:qFormat/>
    <w:uiPriority w:val="0"/>
    <w:pPr>
      <w:widowControl/>
      <w:spacing w:before="100" w:beforeLines="0" w:beforeAutospacing="1" w:after="100" w:afterLines="0" w:afterAutospacing="1"/>
      <w:jc w:val="left"/>
    </w:pPr>
    <w:rPr>
      <w:rFonts w:ascii="宋体" w:hAnsi="宋体"/>
      <w:color w:val="000000"/>
      <w:kern w:val="0"/>
      <w:sz w:val="24"/>
    </w:rPr>
  </w:style>
  <w:style w:type="paragraph" w:styleId="22">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Strong"/>
    <w:basedOn w:val="25"/>
    <w:qFormat/>
    <w:uiPriority w:val="22"/>
    <w:rPr>
      <w:rFonts w:eastAsia="宋体"/>
      <w:b/>
      <w:bCs/>
      <w:kern w:val="2"/>
      <w:sz w:val="24"/>
      <w:szCs w:val="24"/>
      <w:lang w:val="en-US" w:eastAsia="zh-CN" w:bidi="ar-SA"/>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character" w:styleId="28">
    <w:name w:val="annotation reference"/>
    <w:qFormat/>
    <w:uiPriority w:val="0"/>
    <w:rPr>
      <w:rFonts w:ascii="Times New Roman" w:hAnsi="Times New Roman" w:eastAsia="宋体" w:cs="Times New Roman"/>
      <w:sz w:val="21"/>
      <w:szCs w:val="21"/>
    </w:rPr>
  </w:style>
  <w:style w:type="paragraph" w:customStyle="1" w:styleId="2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30">
    <w:name w:val="页眉 Char"/>
    <w:basedOn w:val="25"/>
    <w:link w:val="18"/>
    <w:semiHidden/>
    <w:qFormat/>
    <w:uiPriority w:val="99"/>
    <w:rPr>
      <w:sz w:val="18"/>
      <w:szCs w:val="18"/>
    </w:rPr>
  </w:style>
  <w:style w:type="character" w:customStyle="1" w:styleId="31">
    <w:name w:val="页脚 Char"/>
    <w:basedOn w:val="25"/>
    <w:link w:val="17"/>
    <w:qFormat/>
    <w:uiPriority w:val="99"/>
    <w:rPr>
      <w:sz w:val="18"/>
      <w:szCs w:val="18"/>
    </w:rPr>
  </w:style>
  <w:style w:type="character" w:customStyle="1" w:styleId="32">
    <w:name w:val="标题 1 Char"/>
    <w:basedOn w:val="25"/>
    <w:link w:val="4"/>
    <w:qFormat/>
    <w:uiPriority w:val="9"/>
    <w:rPr>
      <w:rFonts w:eastAsia="方正小标宋简体"/>
      <w:bCs/>
      <w:kern w:val="44"/>
      <w:sz w:val="44"/>
      <w:szCs w:val="44"/>
    </w:rPr>
  </w:style>
  <w:style w:type="character" w:customStyle="1" w:styleId="33">
    <w:name w:val="标题 2 Char"/>
    <w:basedOn w:val="25"/>
    <w:link w:val="5"/>
    <w:qFormat/>
    <w:uiPriority w:val="9"/>
    <w:rPr>
      <w:rFonts w:eastAsia="方正小标宋简体" w:asciiTheme="majorHAnsi" w:hAnsiTheme="majorHAnsi" w:cstheme="majorBidi"/>
      <w:bCs/>
      <w:sz w:val="36"/>
      <w:szCs w:val="32"/>
    </w:rPr>
  </w:style>
  <w:style w:type="character" w:customStyle="1" w:styleId="34">
    <w:name w:val="标题 3 Char"/>
    <w:basedOn w:val="25"/>
    <w:link w:val="6"/>
    <w:qFormat/>
    <w:uiPriority w:val="9"/>
    <w:rPr>
      <w:rFonts w:ascii="Calibri" w:hAnsi="Calibri" w:eastAsia="宋体" w:cs="Times New Roman"/>
      <w:b/>
      <w:bCs/>
      <w:sz w:val="32"/>
      <w:szCs w:val="32"/>
    </w:rPr>
  </w:style>
  <w:style w:type="paragraph" w:styleId="35">
    <w:name w:val="List Paragraph"/>
    <w:basedOn w:val="1"/>
    <w:link w:val="43"/>
    <w:qFormat/>
    <w:uiPriority w:val="34"/>
    <w:pPr>
      <w:ind w:firstLine="420" w:firstLineChars="200"/>
    </w:pPr>
  </w:style>
  <w:style w:type="paragraph" w:customStyle="1" w:styleId="36">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批注框文本 Char"/>
    <w:basedOn w:val="25"/>
    <w:link w:val="16"/>
    <w:semiHidden/>
    <w:qFormat/>
    <w:uiPriority w:val="99"/>
    <w:rPr>
      <w:sz w:val="18"/>
      <w:szCs w:val="18"/>
    </w:rPr>
  </w:style>
  <w:style w:type="paragraph" w:styleId="3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CM97"/>
    <w:basedOn w:val="13"/>
    <w:next w:val="13"/>
    <w:qFormat/>
    <w:uiPriority w:val="0"/>
    <w:pPr>
      <w:spacing w:after="373"/>
    </w:pPr>
    <w:rPr>
      <w:color w:val="auto"/>
    </w:rPr>
  </w:style>
  <w:style w:type="paragraph" w:customStyle="1" w:styleId="40">
    <w:name w:val="CM91"/>
    <w:basedOn w:val="13"/>
    <w:next w:val="13"/>
    <w:qFormat/>
    <w:uiPriority w:val="0"/>
    <w:pPr>
      <w:spacing w:after="160"/>
    </w:pPr>
    <w:rPr>
      <w:color w:val="auto"/>
    </w:rPr>
  </w:style>
  <w:style w:type="character" w:customStyle="1" w:styleId="41">
    <w:name w:val="正文文本 3 Char"/>
    <w:link w:val="9"/>
    <w:qFormat/>
    <w:uiPriority w:val="99"/>
    <w:rPr>
      <w:sz w:val="16"/>
      <w:szCs w:val="16"/>
    </w:rPr>
  </w:style>
  <w:style w:type="character" w:customStyle="1" w:styleId="42">
    <w:name w:val="正文文本 3 Char1"/>
    <w:basedOn w:val="25"/>
    <w:link w:val="9"/>
    <w:semiHidden/>
    <w:qFormat/>
    <w:uiPriority w:val="99"/>
    <w:rPr>
      <w:sz w:val="16"/>
      <w:szCs w:val="16"/>
    </w:rPr>
  </w:style>
  <w:style w:type="character" w:customStyle="1" w:styleId="43">
    <w:name w:val="列出段落 Char"/>
    <w:link w:val="35"/>
    <w:qFormat/>
    <w:uiPriority w:val="34"/>
  </w:style>
  <w:style w:type="paragraph" w:customStyle="1" w:styleId="44">
    <w:name w:val="1"/>
    <w:basedOn w:val="1"/>
    <w:next w:val="12"/>
    <w:qFormat/>
    <w:uiPriority w:val="99"/>
    <w:pPr>
      <w:widowControl w:val="0"/>
      <w:jc w:val="both"/>
    </w:pPr>
    <w:rPr>
      <w:rFonts w:ascii="宋体" w:hAnsi="Courier New"/>
      <w:kern w:val="2"/>
    </w:rPr>
  </w:style>
  <w:style w:type="paragraph" w:customStyle="1" w:styleId="45">
    <w:name w:val="WPSOffice手动目录 1"/>
    <w:qFormat/>
    <w:uiPriority w:val="0"/>
    <w:pPr>
      <w:ind w:leftChars="0"/>
    </w:pPr>
    <w:rPr>
      <w:rFonts w:asciiTheme="minorHAnsi" w:hAnsiTheme="minorHAnsi" w:eastAsiaTheme="minorEastAsia" w:cstheme="minorBidi"/>
      <w:sz w:val="20"/>
      <w:szCs w:val="20"/>
    </w:rPr>
  </w:style>
  <w:style w:type="paragraph" w:customStyle="1" w:styleId="46">
    <w:name w:val="WPSOffice手动目录 2"/>
    <w:qFormat/>
    <w:uiPriority w:val="0"/>
    <w:pPr>
      <w:ind w:leftChars="200"/>
    </w:pPr>
    <w:rPr>
      <w:rFonts w:asciiTheme="minorHAnsi" w:hAnsiTheme="minorHAnsi" w:eastAsiaTheme="minorEastAsia" w:cstheme="minorBidi"/>
      <w:sz w:val="20"/>
      <w:szCs w:val="20"/>
    </w:rPr>
  </w:style>
  <w:style w:type="paragraph" w:customStyle="1" w:styleId="47">
    <w:name w:val="WPSOffice手动目录 3"/>
    <w:qFormat/>
    <w:uiPriority w:val="0"/>
    <w:pPr>
      <w:ind w:leftChars="400"/>
    </w:pPr>
    <w:rPr>
      <w:rFonts w:asciiTheme="minorHAnsi" w:hAnsiTheme="minorHAnsi" w:eastAsiaTheme="minorEastAsia" w:cstheme="minorBidi"/>
      <w:sz w:val="20"/>
      <w:szCs w:val="20"/>
    </w:rPr>
  </w:style>
  <w:style w:type="paragraph" w:customStyle="1" w:styleId="48">
    <w:name w:val="_Style 4"/>
    <w:basedOn w:val="4"/>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 w:type="paragraph" w:customStyle="1" w:styleId="49">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paragraph" w:customStyle="1" w:styleId="50">
    <w:name w:val="BodyText"/>
    <w:basedOn w:val="1"/>
    <w:next w:val="51"/>
    <w:qFormat/>
    <w:uiPriority w:val="0"/>
    <w:pPr>
      <w:jc w:val="both"/>
      <w:textAlignment w:val="baseline"/>
    </w:pPr>
    <w:rPr>
      <w:rFonts w:ascii="Times New Roman" w:hAnsi="Times New Roman" w:eastAsia="宋体"/>
      <w:kern w:val="2"/>
      <w:sz w:val="28"/>
      <w:lang w:val="en-US" w:eastAsia="zh-CN" w:bidi="ar-SA"/>
    </w:rPr>
  </w:style>
  <w:style w:type="paragraph" w:customStyle="1" w:styleId="51">
    <w:name w:val="BodyText2"/>
    <w:basedOn w:val="1"/>
    <w:qFormat/>
    <w:uiPriority w:val="0"/>
    <w:pPr>
      <w:spacing w:after="120" w:line="480" w:lineRule="auto"/>
      <w:jc w:val="both"/>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100</Pages>
  <Words>34248</Words>
  <Characters>37652</Characters>
  <Lines>300</Lines>
  <Paragraphs>84</Paragraphs>
  <TotalTime>24</TotalTime>
  <ScaleCrop>false</ScaleCrop>
  <LinksUpToDate>false</LinksUpToDate>
  <CharactersWithSpaces>40505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2022-10-24T09:30:00Z</cp:lastPrinted>
  <dcterms:modified xsi:type="dcterms:W3CDTF">2022-11-04T02:04:55Z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57D7FB1ED0984AE19DBD00327DCC6A30</vt:lpwstr>
  </property>
</Properties>
</file>